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BD44" w14:textId="77777777"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66BC774A" wp14:editId="6739433F">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14:paraId="33809999" w14:textId="77777777" w:rsidR="00BE7524" w:rsidRDefault="00BE7524" w:rsidP="00BE7524">
                            <w:pPr>
                              <w:spacing w:after="0" w:line="240" w:lineRule="auto"/>
                              <w:jc w:val="center"/>
                              <w:rPr>
                                <w:b/>
                                <w:sz w:val="28"/>
                              </w:rPr>
                            </w:pPr>
                            <w:r w:rsidRPr="005650BE">
                              <w:rPr>
                                <w:b/>
                                <w:sz w:val="28"/>
                              </w:rPr>
                              <w:t>Mandanteninformationen</w:t>
                            </w:r>
                          </w:p>
                          <w:p w14:paraId="67915BE5" w14:textId="731F0FFB"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495DB6">
                              <w:rPr>
                                <w:b/>
                                <w:sz w:val="28"/>
                              </w:rPr>
                              <w:t>Mai</w:t>
                            </w:r>
                            <w:r w:rsidR="00E343B8">
                              <w:rPr>
                                <w:b/>
                                <w:sz w:val="28"/>
                              </w:rPr>
                              <w:t xml:space="preserve"> 2023</w:t>
                            </w:r>
                          </w:p>
                          <w:p w14:paraId="4E7F4DD0" w14:textId="77777777" w:rsidR="008F0E34" w:rsidRDefault="008F0E34" w:rsidP="006D5A1E">
                            <w:pPr>
                              <w:spacing w:after="0" w:line="240" w:lineRule="auto"/>
                              <w:jc w:val="center"/>
                              <w:rPr>
                                <w:b/>
                                <w:sz w:val="28"/>
                              </w:rPr>
                            </w:pPr>
                          </w:p>
                          <w:p w14:paraId="04D8F471" w14:textId="77777777"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C774A"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14:paraId="33809999" w14:textId="77777777" w:rsidR="00BE7524" w:rsidRDefault="00BE7524" w:rsidP="00BE7524">
                      <w:pPr>
                        <w:spacing w:after="0" w:line="240" w:lineRule="auto"/>
                        <w:jc w:val="center"/>
                        <w:rPr>
                          <w:b/>
                          <w:sz w:val="28"/>
                        </w:rPr>
                      </w:pPr>
                      <w:r w:rsidRPr="005650BE">
                        <w:rPr>
                          <w:b/>
                          <w:sz w:val="28"/>
                        </w:rPr>
                        <w:t>Mandanteninformationen</w:t>
                      </w:r>
                    </w:p>
                    <w:p w14:paraId="67915BE5" w14:textId="731F0FFB"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495DB6">
                        <w:rPr>
                          <w:b/>
                          <w:sz w:val="28"/>
                        </w:rPr>
                        <w:t>Mai</w:t>
                      </w:r>
                      <w:r w:rsidR="00E343B8">
                        <w:rPr>
                          <w:b/>
                          <w:sz w:val="28"/>
                        </w:rPr>
                        <w:t xml:space="preserve"> 2023</w:t>
                      </w:r>
                    </w:p>
                    <w:p w14:paraId="4E7F4DD0" w14:textId="77777777" w:rsidR="008F0E34" w:rsidRDefault="008F0E34" w:rsidP="006D5A1E">
                      <w:pPr>
                        <w:spacing w:after="0" w:line="240" w:lineRule="auto"/>
                        <w:jc w:val="center"/>
                        <w:rPr>
                          <w:b/>
                          <w:sz w:val="28"/>
                        </w:rPr>
                      </w:pPr>
                    </w:p>
                    <w:p w14:paraId="04D8F471" w14:textId="77777777"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14:paraId="37EC938C" w14:textId="77777777" w:rsidR="001745A0" w:rsidRPr="00A2710A" w:rsidRDefault="001745A0" w:rsidP="00F16BD1">
      <w:pPr>
        <w:pStyle w:val="KeinLeerraum"/>
        <w:jc w:val="both"/>
      </w:pPr>
    </w:p>
    <w:p w14:paraId="09E54465" w14:textId="77777777" w:rsidR="001745A0" w:rsidRPr="00A2710A" w:rsidRDefault="001745A0" w:rsidP="00F16BD1">
      <w:pPr>
        <w:pStyle w:val="KeinLeerraum"/>
        <w:jc w:val="both"/>
      </w:pPr>
    </w:p>
    <w:p w14:paraId="3B7D84B3" w14:textId="77777777" w:rsidR="001745A0" w:rsidRPr="00A2710A" w:rsidRDefault="001745A0" w:rsidP="00F16BD1">
      <w:pPr>
        <w:pStyle w:val="KeinLeerraum"/>
        <w:jc w:val="both"/>
      </w:pPr>
    </w:p>
    <w:p w14:paraId="59588EBC" w14:textId="77777777" w:rsidR="001F048B" w:rsidRDefault="001F048B" w:rsidP="00BF62E8">
      <w:pPr>
        <w:pStyle w:val="NurText"/>
        <w:rPr>
          <w:rFonts w:ascii="Times New Roman" w:hAnsi="Times New Roman" w:cs="Times New Roman"/>
          <w:sz w:val="24"/>
          <w:szCs w:val="24"/>
        </w:rPr>
      </w:pPr>
    </w:p>
    <w:p w14:paraId="17447BC5" w14:textId="74D9E886" w:rsidR="00C748D7" w:rsidRPr="00C748D7" w:rsidRDefault="00495DB6" w:rsidP="00C748D7">
      <w:pPr>
        <w:rPr>
          <w:b/>
          <w:bCs/>
          <w:sz w:val="24"/>
          <w:szCs w:val="24"/>
        </w:rPr>
      </w:pPr>
      <w:r>
        <w:rPr>
          <w:b/>
          <w:bCs/>
          <w:sz w:val="24"/>
          <w:szCs w:val="24"/>
        </w:rPr>
        <w:t>V</w:t>
      </w:r>
      <w:r w:rsidR="00C748D7" w:rsidRPr="00C748D7">
        <w:rPr>
          <w:b/>
          <w:bCs/>
          <w:sz w:val="24"/>
          <w:szCs w:val="24"/>
        </w:rPr>
        <w:t>ertrauensschutz bei bestandskräftigem Kostenumlagebeschluss</w:t>
      </w:r>
    </w:p>
    <w:p w14:paraId="394CE040" w14:textId="77777777" w:rsidR="00C748D7" w:rsidRPr="00C748D7" w:rsidRDefault="00C748D7" w:rsidP="004238C1">
      <w:pPr>
        <w:pStyle w:val="StandardWeb"/>
      </w:pPr>
      <w:r w:rsidRPr="00C748D7">
        <w:t xml:space="preserve">Das </w:t>
      </w:r>
      <w:r w:rsidRPr="004238C1">
        <w:rPr>
          <w:b/>
          <w:bCs/>
        </w:rPr>
        <w:t>Landgericht Frankfurt am Main</w:t>
      </w:r>
      <w:r w:rsidRPr="00C748D7">
        <w:t xml:space="preserve"> hat mit Urteil vom 15.12.2022 entschieden, dass Wohnungseigentümer, die die Kostenverteilung durch bestandskräftig gewordenen Beschluss geregelt haben, die Kostenverteilung nicht später ohne Zustimmung der voraussichtlich benachteiligten Wohnungseigentümer ändern dürfen.</w:t>
      </w:r>
    </w:p>
    <w:p w14:paraId="2520D7E2" w14:textId="214E322B" w:rsidR="00C748D7" w:rsidRPr="00C748D7" w:rsidRDefault="00C748D7" w:rsidP="004238C1">
      <w:pPr>
        <w:pStyle w:val="StandardWeb"/>
      </w:pPr>
      <w:r w:rsidRPr="00C748D7">
        <w:t xml:space="preserve">Unabhängig von der Frage, ob die Änderung der Kostenverteilung zusammen mit dem Beschluss über die Nachschüsse im Sinne von </w:t>
      </w:r>
      <w:r>
        <w:t>§</w:t>
      </w:r>
      <w:r w:rsidRPr="00C748D7">
        <w:t xml:space="preserve"> 28 WEG festgelegt werden kann, ob es eines sachlichen Grundes hierfür bedarf oder ob insoweit nur das Willkürverbot nicht verletzt werden darf, ist der Beschluss aufzuheben, weil die Klägerin auf die Bestandskraft, des zunächst gefasst Beschlusses über die Kostenverteilung vertrauen dürfte und das später Beschlossene, dass sie schützende Rücksichtnahmegebot verletzt.  Denn der zunächst gewählte Kostenverteilung</w:t>
      </w:r>
      <w:r>
        <w:t>s</w:t>
      </w:r>
      <w:r w:rsidRPr="00C748D7">
        <w:t>ma</w:t>
      </w:r>
      <w:r>
        <w:t>ßs</w:t>
      </w:r>
      <w:r w:rsidRPr="00C748D7">
        <w:t>tab nach Miteigentumsanteilen ist keineswegs grob unbillig, so dass er auch deshalb keiner weiteren Änderung bedurfte.  </w:t>
      </w:r>
    </w:p>
    <w:p w14:paraId="6035E7D3" w14:textId="2AF99B6F" w:rsidR="00E86D8C" w:rsidRPr="00E86D8C" w:rsidRDefault="00E86D8C" w:rsidP="00E86D8C">
      <w:pPr>
        <w:rPr>
          <w:b/>
          <w:bCs/>
        </w:rPr>
      </w:pPr>
      <w:r w:rsidRPr="00E86D8C">
        <w:rPr>
          <w:b/>
          <w:bCs/>
        </w:rPr>
        <w:t>Teilung nach wie WEG, Erbbaurecht verhindert dies</w:t>
      </w:r>
    </w:p>
    <w:p w14:paraId="43B821A7" w14:textId="7E394BD5" w:rsidR="00E86D8C" w:rsidRDefault="00E86D8C" w:rsidP="00E86D8C">
      <w:r>
        <w:t xml:space="preserve">Das </w:t>
      </w:r>
      <w:r w:rsidRPr="00E86D8C">
        <w:rPr>
          <w:b/>
          <w:bCs/>
        </w:rPr>
        <w:t>Oberlandesgericht Karlsruhe</w:t>
      </w:r>
      <w:r>
        <w:t xml:space="preserve"> hat mit Beschluss vom 22.12.2022 entschieden, dass ein Grundstück, welches in Ausübung eines Erbbaurechts mit einem Wohnhaus bebaut worden ist, nicht nach § 8 WEG. Geteilt werden kann.</w:t>
      </w:r>
    </w:p>
    <w:p w14:paraId="503FEAD9" w14:textId="03EA0F6C" w:rsidR="00E86D8C" w:rsidRDefault="00E86D8C" w:rsidP="00E86D8C">
      <w:r>
        <w:t xml:space="preserve">Auf dem mit einem Erbbaurecht belasteten Grundstück befindet sich ein in Ausübung des Rechts errichtete Bestandsbau. Der Bestand des Erbbaurechts hindert eine Aufteilung des Grundstücks in Wohnungseigentum. Denn das Gebäude ist entgegen § 95 Abs. 1 Satz 2 BGB </w:t>
      </w:r>
      <w:r>
        <w:t>nicht Bestandteil des Grundstücks. Nach § 12 Abs. 1 Erbbaurechtsgesetz ist es dem Erbbaurecht als wesentlicher Bestandteil zugeordnet, der Erbbauberechtigte ist Gebäudeeigentümer. Der Grundstückseigentümer kann über das Gebäude – als Scheinbestandteil – nicht verfügen und daher ist die Begründung von Wohnungseigentum ausgeschlossen, soweit es sich auf das vom Erbbaurecht erfasste Gebäude bezieht. </w:t>
      </w:r>
    </w:p>
    <w:p w14:paraId="2EBF2A0E" w14:textId="77777777" w:rsidR="00E86D8C" w:rsidRPr="00E86D8C" w:rsidRDefault="00E86D8C" w:rsidP="00E86D8C">
      <w:pPr>
        <w:rPr>
          <w:b/>
          <w:bCs/>
        </w:rPr>
      </w:pPr>
      <w:r w:rsidRPr="00E86D8C">
        <w:rPr>
          <w:b/>
          <w:bCs/>
        </w:rPr>
        <w:t>Nutzung des Vermögens der Gemeinschaft der Wohnungseigentümer.</w:t>
      </w:r>
    </w:p>
    <w:p w14:paraId="44C645CA" w14:textId="455E5436" w:rsidR="00E86D8C" w:rsidRDefault="00E86D8C" w:rsidP="00E86D8C">
      <w:r>
        <w:t xml:space="preserve">Das </w:t>
      </w:r>
      <w:r w:rsidRPr="00E86D8C">
        <w:rPr>
          <w:b/>
          <w:bCs/>
        </w:rPr>
        <w:t xml:space="preserve">Landgericht München I </w:t>
      </w:r>
      <w:r>
        <w:t>hat mit Beschluss vom 14.12.2022 entschieden, dass dann, wenn die Gemeinschaft der Wohnungseigentümer eigenes Vermögen hat, ihren Mitgliedern kein unmittelbarer Nutzungsanspruch zusteht.</w:t>
      </w:r>
    </w:p>
    <w:p w14:paraId="3A6CFE19" w14:textId="4AE6DCE0" w:rsidR="00E86D8C" w:rsidRDefault="00E86D8C" w:rsidP="00E86D8C">
      <w:r>
        <w:t>Ein Hotelobjekt wird in Wohnungs- und Teileigentum aufgeteilt. Diejenigen Räume, in denen sich die Rezeption und ein Kiosk befinden, stehen im Teileigentum der Gemeinschaft der Wohnungseigentümer. Nunmehr machen einzelne Eigentümer geltend, diese Räume mitnutzen zu dürfen.</w:t>
      </w:r>
    </w:p>
    <w:p w14:paraId="025CD39C" w14:textId="49BD405D" w:rsidR="00E86D8C" w:rsidRDefault="00E86D8C" w:rsidP="00E86D8C">
      <w:r>
        <w:t>Ein mit Nutzungsrecht nach § 16 Abs. 1 Satz 3 WEG besteht nicht, denn es handelt sich bei den Räumen nicht um gemeinschaftliches Eigentum. Das Eigentum steht als Sondereigentum vielmehr der Gemeinschaft der Wohnungseigentümer als Verband zu. Damit rechnet es zum Vermögen des Verbandes, woran ein Mitnutzungsrecht nicht vorgesehen ist. Seine Nutzung durch Mitglieder des Verbandes ist mittelbar nur möglich, in dem die Wohnungseigentümer durch Vereinbarung oder Beschluss entsprechendes Gebrauchs – oder Nutzungsrechte festlegen.</w:t>
      </w:r>
    </w:p>
    <w:p w14:paraId="7E9720D8" w14:textId="77777777" w:rsidR="00851F7D" w:rsidRPr="00851F7D" w:rsidRDefault="00851F7D" w:rsidP="00851F7D">
      <w:pPr>
        <w:rPr>
          <w:b/>
          <w:bCs/>
        </w:rPr>
      </w:pPr>
      <w:r w:rsidRPr="00851F7D">
        <w:rPr>
          <w:b/>
          <w:bCs/>
        </w:rPr>
        <w:t>Alle Mietschulden müssen innerhalb der Schonfrist gezahlt werden</w:t>
      </w:r>
    </w:p>
    <w:p w14:paraId="0F1CEFF4" w14:textId="5465CF4B" w:rsidR="00851F7D" w:rsidRDefault="00851F7D" w:rsidP="00851F7D">
      <w:r>
        <w:t xml:space="preserve">Das </w:t>
      </w:r>
      <w:r w:rsidRPr="00851F7D">
        <w:rPr>
          <w:b/>
          <w:bCs/>
        </w:rPr>
        <w:t>Landgericht Berlin</w:t>
      </w:r>
      <w:r>
        <w:t xml:space="preserve"> hat mit Beschluss vom 2.6.2022 entschieden, dass eine wirksame Schonfristzahlung nur dann vorliegt, wenn alle offenen Mietforderungen des Vermieters getilgt werden, einschließlich solcher, die schon </w:t>
      </w:r>
      <w:r>
        <w:lastRenderedPageBreak/>
        <w:t>im Zeitpunkt der Kündigung offen waren, aber im Kündigungsschreiben nicht erwähnt wurden. Es ist Aufgabe des Mieters, die Höhe seiner Mietschuld zu klären. Es ergibt sich eindeutig aus dem Gesetz, dass die Kündigung nur dann unwirksam wird, wenn bis zum Ablauf von zwei Monaten nach Eintritt der Rechtshängigkeit der Vermieter hinsichtlich der fälligen Miete befriedigt wird. Die fällige Miete muss nicht zwangsweise mit dem im Kündigungsschreiben genannten Rückstand übereinstimmen. </w:t>
      </w:r>
    </w:p>
    <w:p w14:paraId="59AF2F3F" w14:textId="045509F2" w:rsidR="00851F7D" w:rsidRPr="00851F7D" w:rsidRDefault="00851F7D" w:rsidP="00851F7D">
      <w:pPr>
        <w:rPr>
          <w:b/>
          <w:bCs/>
        </w:rPr>
      </w:pPr>
      <w:r w:rsidRPr="00851F7D">
        <w:rPr>
          <w:b/>
          <w:bCs/>
        </w:rPr>
        <w:t>Grenzen von Schönheitsreparaturklausel in der Gewerberaummiete.</w:t>
      </w:r>
    </w:p>
    <w:p w14:paraId="1525BB98" w14:textId="4D6B4348" w:rsidR="00851F7D" w:rsidRDefault="00851F7D" w:rsidP="00851F7D">
      <w:r>
        <w:t xml:space="preserve">Das </w:t>
      </w:r>
      <w:r w:rsidRPr="00851F7D">
        <w:rPr>
          <w:b/>
          <w:bCs/>
        </w:rPr>
        <w:t>OLG Brandenburg</w:t>
      </w:r>
      <w:r>
        <w:t xml:space="preserve"> hat mit Urteil vom 6.12.2022 entschieden, dass folgende Klausel auch in Gewerberaummietverträgen unwirksam ist: „Der Mieter ist nicht befugt, ohne Zustimmung des Vermieters von der bisherigen Ausführungsart abzuweichen.“</w:t>
      </w:r>
    </w:p>
    <w:p w14:paraId="38E0A04A" w14:textId="38384DB9" w:rsidR="00851F7D" w:rsidRDefault="00851F7D" w:rsidP="00851F7D">
      <w:r>
        <w:t>Die Formularklausel, wonach der Mieter nur mit Zustimmung des Vermieters von der bisherigen Ausführungsart abweichen dürfen, verstößt gegen das Klarheitsgebot des § 315 Abs. 2 BGB, weil der Begriff der Ausführungsart mehrdeutig sei. Er könne sich auf die Grundausstattung, auf die Ausgestaltung im Einzelnen oder auf beides beziehen. Der Mieter von Geschäftsraum sei ihn noch stärkerem Maße als der Wohnungsmieter darauf angewiesen, dass er die Räume nach seinen Bedürfnissen gestalten können, weil die Ausgestaltung der Räume oft Teil des Geschäftskonzepts sei. </w:t>
      </w:r>
    </w:p>
    <w:p w14:paraId="556F3404" w14:textId="77777777" w:rsidR="00851F7D" w:rsidRPr="00851F7D" w:rsidRDefault="00851F7D" w:rsidP="00851F7D">
      <w:pPr>
        <w:rPr>
          <w:b/>
          <w:bCs/>
        </w:rPr>
      </w:pPr>
      <w:r w:rsidRPr="00851F7D">
        <w:rPr>
          <w:b/>
          <w:bCs/>
        </w:rPr>
        <w:t>Versammlung darf nicht beim „Feind“ stattfinden</w:t>
      </w:r>
    </w:p>
    <w:p w14:paraId="6839647C" w14:textId="77777777" w:rsidR="00851F7D" w:rsidRDefault="00851F7D" w:rsidP="00851F7D">
      <w:r>
        <w:t xml:space="preserve">Das </w:t>
      </w:r>
      <w:r w:rsidRPr="00851F7D">
        <w:rPr>
          <w:b/>
          <w:bCs/>
        </w:rPr>
        <w:t>Landgericht Frankfurt am Main</w:t>
      </w:r>
      <w:r>
        <w:t xml:space="preserve"> hat am 2.2.2023 entschieden, dass die Teilnahme an einer Versammlung auf der Terrasse einer Miteigentümerin, mit welcher ein Wohnungseigentümer seit Jahren im Streit liegt, unzumutbar ist, wenn die Terrasse zwar im gemeinschaftlichen Eigentum steht, aber faktisch allein von der Miteigentümerin genutzt wird. Das Erscheinen am Versammlungsort muss objektiv betrachtet, unter Berücksichtigung der </w:t>
      </w:r>
      <w:r>
        <w:t>einzelnen Interessen, den Wohnungseigentümer zumutbar und für diese akzeptabel sein, was bei zerstrittenen Gemeinschaften einen neutralen Ort erfordert. </w:t>
      </w:r>
    </w:p>
    <w:p w14:paraId="728EB094" w14:textId="7795D458" w:rsidR="00851F7D" w:rsidRPr="00851F7D" w:rsidRDefault="00851F7D" w:rsidP="00851F7D">
      <w:pPr>
        <w:rPr>
          <w:b/>
          <w:bCs/>
        </w:rPr>
      </w:pPr>
      <w:r w:rsidRPr="00851F7D">
        <w:rPr>
          <w:b/>
          <w:bCs/>
        </w:rPr>
        <w:t>Was zählt? Rechtskraft oder</w:t>
      </w:r>
      <w:r>
        <w:rPr>
          <w:b/>
          <w:bCs/>
        </w:rPr>
        <w:t xml:space="preserve"> Beschluss</w:t>
      </w:r>
      <w:r w:rsidRPr="00851F7D">
        <w:rPr>
          <w:b/>
          <w:bCs/>
        </w:rPr>
        <w:t>?</w:t>
      </w:r>
    </w:p>
    <w:p w14:paraId="48E9B8B5" w14:textId="28645602" w:rsidR="00851F7D" w:rsidRDefault="00851F7D" w:rsidP="00851F7D">
      <w:r>
        <w:t xml:space="preserve">Am 2.12.2022 hat das </w:t>
      </w:r>
      <w:r w:rsidRPr="00851F7D">
        <w:rPr>
          <w:b/>
          <w:bCs/>
        </w:rPr>
        <w:t xml:space="preserve">Landgericht Saarbrücken </w:t>
      </w:r>
      <w:r>
        <w:t>entschieden, dass ein Beschluss, der darauf gerichtet ist, auf einen rechtskräftig titulierten Anspruch eines Wohnungseigentümers einzuwirken, hier die Beseitigung der Vollstreckbarkeit eines rechtskräftig titulierten Anspruchs, nichtig ist.</w:t>
      </w:r>
    </w:p>
    <w:p w14:paraId="7ED2A50A" w14:textId="19CA5E2D" w:rsidR="00851F7D" w:rsidRDefault="00851F7D" w:rsidP="00851F7D">
      <w:r>
        <w:t>Mit dem Beschluss gemäß § 20 Absatz 1 WEG hätten die Wohnungseigentümer den Versuch unternommen, auf einen rechtskräftig titulierten Anspruch einzuwirken. Für diesen Gegenstand gibt es weder aus dem Gesetz noch aus einer Vereinbarung der Wohnungseigentümer eine Beschlusskompetenz. Im Gegenteil liege in diesem Fall, dass durch Beschluss in die Rechtszuständigkeit der einzelnen Wohnungseigentümer eingegriffen werde, eine absolute Beschlussunzuständigkeit.</w:t>
      </w:r>
    </w:p>
    <w:p w14:paraId="46CAA725" w14:textId="77777777" w:rsidR="00851F7D" w:rsidRPr="00851F7D" w:rsidRDefault="00851F7D" w:rsidP="00851F7D">
      <w:pPr>
        <w:rPr>
          <w:b/>
          <w:bCs/>
        </w:rPr>
      </w:pPr>
      <w:r w:rsidRPr="00851F7D">
        <w:rPr>
          <w:b/>
          <w:bCs/>
        </w:rPr>
        <w:t>Beachtung des Verteilerschlüssels aus der Teilungserklärung bei Wirtschaftsplan.</w:t>
      </w:r>
    </w:p>
    <w:p w14:paraId="7A0C4AB8" w14:textId="4C0E1216" w:rsidR="00851F7D" w:rsidRDefault="00851F7D" w:rsidP="00851F7D">
      <w:r>
        <w:t xml:space="preserve">Das </w:t>
      </w:r>
      <w:r w:rsidRPr="00851F7D">
        <w:rPr>
          <w:b/>
          <w:bCs/>
        </w:rPr>
        <w:t>Landgericht Berlin</w:t>
      </w:r>
      <w:r>
        <w:t xml:space="preserve"> hat mit Urteil vom 20.9.2022 entschieden, dass sich die Verteilung der Kosten im Wirtschaftsplan grundsätzlich nach dem jeweils maßgeblichen Kosten Verteilerschlüssel richtet. Die Anwendung eines unzutreffenden Verteilerschlüssels führt dann nicht zur Anfechtbarkeit des Beschlusses, wenn die Höhe der Beitragspflicht nur geringfügig von dem nach dem richtigen Verteilerschlüssel zu leistenden Betrag abweicht. Sieht der Verteilerschlüssel vor, dass die Heizkosten zu 50 % nach Verbrauch und zu 50 % nach beheizter Fläche umzulegen sind, so widerspricht der Wirtschaftsplan, der die Heizkosten, komplett nach Wohnfläche, umgelegt, ordnungsgemäßer Verwaltung, wenn der falsche Verteilerschlüssel zu doppelt so hohen Kosten führt. </w:t>
      </w:r>
    </w:p>
    <w:p w14:paraId="449B616A" w14:textId="77777777" w:rsidR="00851F7D" w:rsidRDefault="00851F7D" w:rsidP="00851F7D"/>
    <w:p w14:paraId="17F500FE" w14:textId="070D903D" w:rsidR="00851F7D" w:rsidRPr="00851F7D" w:rsidRDefault="00851F7D" w:rsidP="00851F7D">
      <w:pPr>
        <w:rPr>
          <w:b/>
          <w:bCs/>
        </w:rPr>
      </w:pPr>
      <w:r w:rsidRPr="00851F7D">
        <w:rPr>
          <w:b/>
          <w:bCs/>
        </w:rPr>
        <w:lastRenderedPageBreak/>
        <w:t xml:space="preserve">Maßstabskontinuität nach </w:t>
      </w:r>
      <w:r>
        <w:rPr>
          <w:b/>
          <w:bCs/>
        </w:rPr>
        <w:t>§</w:t>
      </w:r>
      <w:r w:rsidRPr="00851F7D">
        <w:rPr>
          <w:b/>
          <w:bCs/>
        </w:rPr>
        <w:t xml:space="preserve"> 16 WEG neue Fassung</w:t>
      </w:r>
    </w:p>
    <w:p w14:paraId="37B8399A" w14:textId="4872133C" w:rsidR="00851F7D" w:rsidRDefault="00851F7D" w:rsidP="00851F7D">
      <w:r>
        <w:t xml:space="preserve">Das </w:t>
      </w:r>
      <w:r w:rsidRPr="00851F7D">
        <w:rPr>
          <w:b/>
          <w:bCs/>
        </w:rPr>
        <w:t>Landgericht Stuttgart</w:t>
      </w:r>
      <w:r>
        <w:t xml:space="preserve"> hat mit Urteil vom 20.7.2022 entschieden, dass ein Beschluss über die von § 16 Abs. 2 Satz 1 WEG abweichende Verteilung der Kosten einer Instandsetzungsmaßnahme nach § 16 Abs. 2 Satz 2 WEG, die nach § 19 Abs. 1 WEG das Handeln der Wohnungseigentümergemeinschaft insgesamt bestimmt den Grundsätzen ordnungsgemäßer Verwaltung entsprechen muss.</w:t>
      </w:r>
    </w:p>
    <w:p w14:paraId="135C7F00" w14:textId="77777777" w:rsidR="00851F7D" w:rsidRDefault="00851F7D" w:rsidP="00851F7D">
      <w:r>
        <w:t>Eine Wohnungseigentümergemeinschaft hatte beschlossen, dass die Wohnungseingangstür des Klägers ersetzt wird und der Kläger allein diese Kosten zu tragen hat.</w:t>
      </w:r>
    </w:p>
    <w:p w14:paraId="0ED941B2" w14:textId="684F612C" w:rsidR="00851F7D" w:rsidRDefault="00851F7D" w:rsidP="00851F7D">
      <w:r>
        <w:t>Anders als nach der alten Rechtslage eröffnet, § 16 Abs. 2 WEG neue Fassung. Die Möglichkeit einer Regelung über die Kostentragung nicht nur für einzelne Kosten, sondern auch für bestimmte Arten von Kosten. Reicht ein Beschluss von der allgemeinen Kostenverteilungsregelung ab, entspricht dieser Beschluss nur dann den Grundsätzen ordnungsgemäßer Verwaltung, wenn für alle gleich gelagerten Instandsetzungsmaßnahmen eine entsprechende abweichende Kostenverteilung Beschlossen wird. </w:t>
      </w:r>
    </w:p>
    <w:p w14:paraId="28EF65A0" w14:textId="484FC66D" w:rsidR="00851F7D" w:rsidRPr="00851F7D" w:rsidRDefault="00851F7D" w:rsidP="00851F7D">
      <w:pPr>
        <w:rPr>
          <w:b/>
          <w:bCs/>
        </w:rPr>
      </w:pPr>
      <w:r w:rsidRPr="00851F7D">
        <w:rPr>
          <w:b/>
          <w:bCs/>
        </w:rPr>
        <w:t>Kein Anspruch auf Balkon Kraftwerk</w:t>
      </w:r>
    </w:p>
    <w:p w14:paraId="2AF8CE94" w14:textId="7E100C94" w:rsidR="00851F7D" w:rsidRDefault="00851F7D" w:rsidP="00851F7D">
      <w:r>
        <w:t xml:space="preserve">Am 9.2.2023 hat das </w:t>
      </w:r>
      <w:r w:rsidRPr="00851F7D">
        <w:rPr>
          <w:b/>
          <w:bCs/>
        </w:rPr>
        <w:t>Amtsgericht Konstanz</w:t>
      </w:r>
      <w:r>
        <w:t xml:space="preserve"> entschieden, dass ein Wohnungseigentümer keinen Anspruch auf Zustimmung zur Montage eines Balkonkraftwerks hat. Die Montage einer Fotovoltaikanlage auf dem Balkon steht eine nicht privilegierte bauliche Veränderung da, die der Zustimmung der übrigen Wohnungseigentümer Bedarf.</w:t>
      </w:r>
    </w:p>
    <w:p w14:paraId="112B0EE4" w14:textId="1CE4D6CE" w:rsidR="00851F7D" w:rsidRPr="00851F7D" w:rsidRDefault="00851F7D" w:rsidP="00851F7D">
      <w:pPr>
        <w:rPr>
          <w:b/>
          <w:bCs/>
        </w:rPr>
      </w:pPr>
      <w:r w:rsidRPr="00851F7D">
        <w:rPr>
          <w:b/>
          <w:bCs/>
        </w:rPr>
        <w:t>Kurzzeitige Vermietung an Monteure ist Zweckentfremdung von Wohnraum.</w:t>
      </w:r>
    </w:p>
    <w:p w14:paraId="270BDC71" w14:textId="2B6AF172" w:rsidR="00851F7D" w:rsidRDefault="00851F7D" w:rsidP="00851F7D">
      <w:r>
        <w:t xml:space="preserve">Das </w:t>
      </w:r>
      <w:r w:rsidRPr="00851F7D">
        <w:rPr>
          <w:b/>
          <w:bCs/>
        </w:rPr>
        <w:t>Verwaltungsgericht Düsseldorf</w:t>
      </w:r>
      <w:r>
        <w:t xml:space="preserve"> hat am 25.10.2022 entschieden, dass das wochenweise Vermieten einer Wohnung an Monteure eine Zweckentfremdung darstellt. Der Wohnungsaufsichtsrechtliche Begriff des Wohnens erfordert eine Dauerhaftigkeit der Nutzung.</w:t>
      </w:r>
    </w:p>
    <w:p w14:paraId="68E62020" w14:textId="77777777" w:rsidR="00851F7D" w:rsidRPr="00851F7D" w:rsidRDefault="00851F7D" w:rsidP="00851F7D">
      <w:pPr>
        <w:rPr>
          <w:b/>
          <w:bCs/>
        </w:rPr>
      </w:pPr>
      <w:r w:rsidRPr="00851F7D">
        <w:rPr>
          <w:b/>
          <w:bCs/>
        </w:rPr>
        <w:t>Grillen, wie oft?</w:t>
      </w:r>
    </w:p>
    <w:p w14:paraId="3628C04B" w14:textId="4F010408" w:rsidR="00851F7D" w:rsidRDefault="00851F7D" w:rsidP="00851F7D">
      <w:r>
        <w:t xml:space="preserve">Das </w:t>
      </w:r>
      <w:r w:rsidRPr="00851F7D">
        <w:rPr>
          <w:b/>
          <w:bCs/>
        </w:rPr>
        <w:t>Landgericht München I</w:t>
      </w:r>
      <w:r>
        <w:t xml:space="preserve"> hat am 1.3.2023 das folgende entschieden: Unter den Verhältnissen des Einzelfalls kann es zum Ausgleich widerstreiten Interessen unter Wohnungseigentümer angeboten sein, das Grillen im Außenbereich, zunächst Ausdruck sozial adäquaten Verhaltens, auf das zumutbare Maß zu beschränken, damit namentlich am Wochenende oder an Sonn– und Feiertagen auch ein Tag emissionsfrei bleibt, an dem das insoweit uneingeschränkte Nutzen der eigenen Flächen beziehungsweise Räume gewährleistet ist. Damit geht eine Beschränkung auf viermal Grillen pro Monat einher. Eine weitergehende Beschränkung des Grillens damit namentlich auf fünfmal pro Jahr kommt hingegen nicht in Betracht. Wann das zulässige Maß überschritten ist und ein übermäßiges Grillen vorliegt, welches zu einer nicht mehr hinzunehmenden Beeinträchtigung führt, hängt von den Umständen des Einzelfalls ab. Maßgebend für die Beurteilung sind unter anderem der Standort des Grills, die Häufigkeit des Grillens und das verwendete Grillgerät. In einem gewissen Umfang ist Grillen als sozial adäquates Verhalten hinzunehmen.</w:t>
      </w:r>
    </w:p>
    <w:p w14:paraId="4958CAB9" w14:textId="7DC93269" w:rsidR="002A6752" w:rsidRPr="002A6752" w:rsidRDefault="002A6752" w:rsidP="002A6752">
      <w:pPr>
        <w:rPr>
          <w:b/>
          <w:bCs/>
        </w:rPr>
      </w:pPr>
      <w:r w:rsidRPr="002A6752">
        <w:rPr>
          <w:b/>
          <w:bCs/>
        </w:rPr>
        <w:t xml:space="preserve">Nackter Vermieter im Hof, </w:t>
      </w:r>
      <w:r>
        <w:rPr>
          <w:b/>
          <w:bCs/>
        </w:rPr>
        <w:t xml:space="preserve">kein </w:t>
      </w:r>
      <w:r w:rsidRPr="002A6752">
        <w:rPr>
          <w:b/>
          <w:bCs/>
        </w:rPr>
        <w:t>Mietmangel?</w:t>
      </w:r>
    </w:p>
    <w:p w14:paraId="36E41E60" w14:textId="2B8905AC" w:rsidR="002A6752" w:rsidRPr="000639B1" w:rsidRDefault="002A6752" w:rsidP="002A6752">
      <w:pPr>
        <w:pStyle w:val="gericht"/>
        <w:rPr>
          <w:sz w:val="22"/>
          <w:szCs w:val="22"/>
        </w:rPr>
      </w:pPr>
      <w:r w:rsidRPr="000639B1">
        <w:rPr>
          <w:sz w:val="22"/>
          <w:szCs w:val="22"/>
        </w:rPr>
        <w:t xml:space="preserve">Das </w:t>
      </w:r>
      <w:r w:rsidRPr="000639B1">
        <w:rPr>
          <w:b/>
          <w:bCs/>
          <w:sz w:val="22"/>
          <w:szCs w:val="22"/>
        </w:rPr>
        <w:t>OLG Frankfurt a. M.</w:t>
      </w:r>
      <w:r w:rsidRPr="000639B1">
        <w:rPr>
          <w:sz w:val="22"/>
          <w:szCs w:val="22"/>
        </w:rPr>
        <w:t xml:space="preserve"> hat im Urteil vom 18.04.2023 den folgenden Sachverhalt beurteilen müssen.</w:t>
      </w:r>
    </w:p>
    <w:p w14:paraId="2BB133D7" w14:textId="612A3770" w:rsidR="00025266" w:rsidRPr="000639B1" w:rsidRDefault="00025266" w:rsidP="002A6752">
      <w:pPr>
        <w:pStyle w:val="StandardWeb"/>
        <w:rPr>
          <w:sz w:val="22"/>
          <w:szCs w:val="22"/>
        </w:rPr>
      </w:pPr>
      <w:r w:rsidRPr="000639B1">
        <w:rPr>
          <w:sz w:val="22"/>
          <w:szCs w:val="22"/>
        </w:rPr>
        <w:t>Die vom Kläger vermietete Büroetage befindet sich in einem Gebäude, das zum Teil zu reinen Wohnzwecken genutzt wird. Auch der Kläger selbst wohnt in dem Haus. Die Beklagte minderte die Miete nach knapp einjähriger Mietzeit. Mit seiner Klage begehrte der Vermieter unter anderem rückständige Mieten. Das Landgericht hatte der Klage hinsichtlich der ausstehenden Mieten nach einer aufwändigen Beweisaufnahme überwiegend stattgegeben.</w:t>
      </w:r>
      <w:r w:rsidR="002A6752" w:rsidRPr="000639B1">
        <w:rPr>
          <w:sz w:val="22"/>
          <w:szCs w:val="22"/>
        </w:rPr>
        <w:t xml:space="preserve"> </w:t>
      </w:r>
      <w:r w:rsidRPr="000639B1">
        <w:rPr>
          <w:sz w:val="22"/>
          <w:szCs w:val="22"/>
        </w:rPr>
        <w:t>"Ruhe und Gediegenheit" als Bestandteil vertraglicher Beschaffenheit</w:t>
      </w:r>
      <w:r w:rsidR="002A6752" w:rsidRPr="000639B1">
        <w:rPr>
          <w:sz w:val="22"/>
          <w:szCs w:val="22"/>
        </w:rPr>
        <w:t xml:space="preserve">. </w:t>
      </w:r>
      <w:r w:rsidRPr="000639B1">
        <w:rPr>
          <w:sz w:val="22"/>
          <w:szCs w:val="22"/>
        </w:rPr>
        <w:t xml:space="preserve">Die hiergegen gerichtete Berufung der Beklagten hatte vor dem OLG nur geringfügig Erfolg. </w:t>
      </w:r>
    </w:p>
    <w:p w14:paraId="5873F25F" w14:textId="517ADA0A" w:rsidR="00025266" w:rsidRPr="000639B1" w:rsidRDefault="002A6752" w:rsidP="00025266">
      <w:pPr>
        <w:pStyle w:val="StandardWeb"/>
        <w:rPr>
          <w:sz w:val="22"/>
          <w:szCs w:val="22"/>
        </w:rPr>
      </w:pPr>
      <w:r w:rsidRPr="000639B1">
        <w:rPr>
          <w:sz w:val="22"/>
          <w:szCs w:val="22"/>
        </w:rPr>
        <w:lastRenderedPageBreak/>
        <w:t>Die Miete kann</w:t>
      </w:r>
      <w:r w:rsidR="00025266" w:rsidRPr="000639B1">
        <w:rPr>
          <w:sz w:val="22"/>
          <w:szCs w:val="22"/>
        </w:rPr>
        <w:t xml:space="preserve"> nicht gemindert werden, soweit sich der Kläger unstreitig nackt im Hof sonne. Rein das ästhetische Empfinden eines anderen verletzende Umstände führten grundsätzlich nicht zu einem Abwehranspruch, sofern sie sich nicht gezielt gegen den anderen richteten. Eine "grob ungehörige Handlung" im Sinne des § </w:t>
      </w:r>
      <w:hyperlink r:id="rId7" w:history="1">
        <w:r w:rsidR="00025266" w:rsidRPr="000639B1">
          <w:rPr>
            <w:sz w:val="22"/>
            <w:szCs w:val="22"/>
          </w:rPr>
          <w:t>118</w:t>
        </w:r>
      </w:hyperlink>
      <w:r w:rsidR="00025266" w:rsidRPr="000639B1">
        <w:rPr>
          <w:rStyle w:val="zit"/>
          <w:sz w:val="22"/>
          <w:szCs w:val="22"/>
        </w:rPr>
        <w:t xml:space="preserve"> OWiG</w:t>
      </w:r>
      <w:r w:rsidR="00025266" w:rsidRPr="000639B1">
        <w:rPr>
          <w:sz w:val="22"/>
          <w:szCs w:val="22"/>
        </w:rPr>
        <w:t xml:space="preserve"> liege nicht vor. Durch den sich im Hof nackt sonnenden Kläger werde die Gebrauchstauglichkeit der Mietsache nicht beeinträchtigt. Es fehle an einer unzulässigen, gezielt sittenwidrigen Einwirkung auf das Grundstück. Der Ort, an dem der Kläger sich unbekleidet auf seine Liege lege, sei von den Räumlichkeiten der Beklagten aus nur dann sichtbar, wenn man sich weit aus dem Fenster herausbeuge. Dies stehe einer gezielten Einwirkung entgegen.</w:t>
      </w:r>
    </w:p>
    <w:p w14:paraId="13B1B0D4" w14:textId="77777777" w:rsidR="00025266" w:rsidRPr="000639B1" w:rsidRDefault="00025266" w:rsidP="00025266">
      <w:pPr>
        <w:pStyle w:val="StandardWeb"/>
        <w:rPr>
          <w:sz w:val="22"/>
          <w:szCs w:val="22"/>
        </w:rPr>
      </w:pPr>
      <w:r w:rsidRPr="000639B1">
        <w:rPr>
          <w:sz w:val="22"/>
          <w:szCs w:val="22"/>
        </w:rPr>
        <w:t>Soweit die Beklagte behaupte, dass der Kläger sich bereits unbekleidet durch das Treppenhaus zum Hof begebe, sodass "ein sich zufällig zu diesem Zeitpunkt auf der Treppe befindlicher Bewohner oder Besucher mit seiner Nacktheit" konfrontiert werde, sei dies nicht nachgewiesen worden. Der Kläger habe vielmehr glaubhaft bekundet, stets einen Bademantel zu tragen, den er erst unmittelbar vor der Sonnenliege ausziehe.</w:t>
      </w:r>
    </w:p>
    <w:p w14:paraId="4D497B40" w14:textId="4B055E89" w:rsidR="003539D9" w:rsidRDefault="003539D9" w:rsidP="005749D7">
      <w:pPr>
        <w:pStyle w:val="NurText"/>
      </w:pPr>
      <w:r w:rsidRPr="00A2710A">
        <w:rPr>
          <w:noProof/>
        </w:rPr>
        <mc:AlternateContent>
          <mc:Choice Requires="wps">
            <w:drawing>
              <wp:anchor distT="0" distB="0" distL="114300" distR="114300" simplePos="0" relativeHeight="251662848" behindDoc="0" locked="0" layoutInCell="1" allowOverlap="1" wp14:anchorId="1AD5C146" wp14:editId="6FA47530">
                <wp:simplePos x="0" y="0"/>
                <wp:positionH relativeFrom="column">
                  <wp:posOffset>-80645</wp:posOffset>
                </wp:positionH>
                <wp:positionV relativeFrom="paragraph">
                  <wp:posOffset>172720</wp:posOffset>
                </wp:positionV>
                <wp:extent cx="2727325" cy="2724150"/>
                <wp:effectExtent l="0" t="0" r="1587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2724150"/>
                        </a:xfrm>
                        <a:prstGeom prst="rect">
                          <a:avLst/>
                        </a:prstGeom>
                        <a:solidFill>
                          <a:srgbClr val="FFFFFF"/>
                        </a:solidFill>
                        <a:ln w="9525">
                          <a:solidFill>
                            <a:srgbClr val="000000"/>
                          </a:solidFill>
                          <a:miter lim="800000"/>
                          <a:headEnd/>
                          <a:tailEnd/>
                        </a:ln>
                      </wps:spPr>
                      <wps:txbx>
                        <w:txbxContent>
                          <w:p w14:paraId="5F4A5349" w14:textId="77777777"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14:paraId="416A00A5" w14:textId="77777777"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14:paraId="1AA78DB7" w14:textId="77777777" w:rsidR="00471137" w:rsidRPr="00C56C01" w:rsidRDefault="00471137" w:rsidP="001E5344">
                            <w:pPr>
                              <w:spacing w:after="0" w:line="240" w:lineRule="auto"/>
                              <w:jc w:val="center"/>
                              <w:rPr>
                                <w:rFonts w:ascii="Copperplate32BC" w:hAnsi="Copperplate32BC"/>
                                <w:sz w:val="20"/>
                              </w:rPr>
                            </w:pPr>
                          </w:p>
                          <w:p w14:paraId="28F45BCE" w14:textId="77777777" w:rsidR="001E5344" w:rsidRPr="00C56C01" w:rsidRDefault="001E5344" w:rsidP="001E5344">
                            <w:pPr>
                              <w:spacing w:after="0" w:line="240" w:lineRule="auto"/>
                              <w:rPr>
                                <w:rFonts w:ascii="Copperplate32BC" w:hAnsi="Copperplate32BC"/>
                                <w:sz w:val="16"/>
                              </w:rPr>
                            </w:pPr>
                          </w:p>
                          <w:p w14:paraId="4172BBC3" w14:textId="77777777" w:rsidR="001E5344" w:rsidRPr="00687B22" w:rsidRDefault="001E5344" w:rsidP="001E5344">
                            <w:pPr>
                              <w:spacing w:after="0" w:line="120" w:lineRule="exact"/>
                              <w:rPr>
                                <w:rFonts w:cs="Times New Roman"/>
                                <w:sz w:val="16"/>
                              </w:rPr>
                            </w:pPr>
                            <w:r w:rsidRPr="00687B22">
                              <w:rPr>
                                <w:rFonts w:cs="Times New Roman"/>
                                <w:sz w:val="16"/>
                              </w:rPr>
                              <w:t>Dr. Jens Becker Platen</w:t>
                            </w:r>
                          </w:p>
                          <w:p w14:paraId="6999FE15" w14:textId="77777777"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14:paraId="53B54817" w14:textId="77777777" w:rsidR="001E5344" w:rsidRPr="00687B22" w:rsidRDefault="001E5344" w:rsidP="001E5344">
                            <w:pPr>
                              <w:spacing w:after="0" w:line="120" w:lineRule="exact"/>
                              <w:rPr>
                                <w:rFonts w:cs="Times New Roman"/>
                                <w:sz w:val="12"/>
                              </w:rPr>
                            </w:pPr>
                          </w:p>
                          <w:p w14:paraId="6C9B79BD" w14:textId="77777777" w:rsidR="001E5344" w:rsidRPr="00687B22" w:rsidRDefault="001E5344" w:rsidP="001E5344">
                            <w:pPr>
                              <w:spacing w:after="0" w:line="240" w:lineRule="auto"/>
                              <w:rPr>
                                <w:rFonts w:cs="Times New Roman"/>
                                <w:sz w:val="6"/>
                              </w:rPr>
                            </w:pPr>
                          </w:p>
                          <w:p w14:paraId="239A2A45" w14:textId="77777777" w:rsidR="001E5344" w:rsidRPr="00687B22" w:rsidRDefault="001E5344" w:rsidP="001E5344">
                            <w:pPr>
                              <w:spacing w:after="0" w:line="120" w:lineRule="exact"/>
                              <w:rPr>
                                <w:rFonts w:cs="Times New Roman"/>
                                <w:sz w:val="16"/>
                              </w:rPr>
                            </w:pPr>
                            <w:r w:rsidRPr="00687B22">
                              <w:rPr>
                                <w:rFonts w:cs="Times New Roman"/>
                                <w:sz w:val="16"/>
                              </w:rPr>
                              <w:t>Michaela Schmidt-Eberth</w:t>
                            </w:r>
                          </w:p>
                          <w:p w14:paraId="6C544E0A" w14:textId="77777777"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14:paraId="7942BF94" w14:textId="77777777" w:rsidR="001E5344" w:rsidRPr="00687B22" w:rsidRDefault="001E5344" w:rsidP="001E5344">
                            <w:pPr>
                              <w:spacing w:after="0" w:line="120" w:lineRule="exact"/>
                              <w:rPr>
                                <w:rFonts w:cs="Times New Roman"/>
                                <w:sz w:val="12"/>
                              </w:rPr>
                            </w:pPr>
                          </w:p>
                          <w:p w14:paraId="10BC8AFA" w14:textId="77777777" w:rsidR="001E5344" w:rsidRPr="00687B22" w:rsidRDefault="001E5344" w:rsidP="001E5344">
                            <w:pPr>
                              <w:spacing w:after="0" w:line="240" w:lineRule="auto"/>
                              <w:rPr>
                                <w:rFonts w:cs="Times New Roman"/>
                                <w:sz w:val="6"/>
                              </w:rPr>
                            </w:pPr>
                          </w:p>
                          <w:p w14:paraId="2C2C5630" w14:textId="77777777" w:rsidR="001E5344" w:rsidRPr="00687B22" w:rsidRDefault="001E5344" w:rsidP="001E5344">
                            <w:pPr>
                              <w:spacing w:after="0" w:line="120" w:lineRule="exact"/>
                              <w:rPr>
                                <w:rFonts w:cs="Times New Roman"/>
                                <w:sz w:val="16"/>
                              </w:rPr>
                            </w:pPr>
                            <w:r w:rsidRPr="00687B22">
                              <w:rPr>
                                <w:rFonts w:cs="Times New Roman"/>
                                <w:sz w:val="16"/>
                              </w:rPr>
                              <w:t>Michael Hopp</w:t>
                            </w:r>
                          </w:p>
                          <w:p w14:paraId="3BF34036" w14:textId="0435B3D1"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r w:rsidR="00156DB8">
                              <w:rPr>
                                <w:rFonts w:cs="Times New Roman"/>
                                <w:sz w:val="12"/>
                              </w:rPr>
                              <w:t xml:space="preserve"> und Arbeitsrecht</w:t>
                            </w:r>
                          </w:p>
                          <w:p w14:paraId="7DF32A1C" w14:textId="77777777" w:rsidR="001E5344" w:rsidRPr="00687B22" w:rsidRDefault="001E5344" w:rsidP="001E5344">
                            <w:pPr>
                              <w:spacing w:after="0" w:line="120" w:lineRule="exact"/>
                              <w:rPr>
                                <w:rFonts w:cs="Times New Roman"/>
                                <w:sz w:val="12"/>
                              </w:rPr>
                            </w:pPr>
                          </w:p>
                          <w:p w14:paraId="74A373D9" w14:textId="77777777" w:rsidR="001E5344" w:rsidRPr="00687B22" w:rsidRDefault="001E5344" w:rsidP="001E5344">
                            <w:pPr>
                              <w:spacing w:after="0" w:line="240" w:lineRule="auto"/>
                              <w:rPr>
                                <w:rFonts w:cs="Times New Roman"/>
                                <w:sz w:val="6"/>
                              </w:rPr>
                            </w:pPr>
                          </w:p>
                          <w:p w14:paraId="3DA03974" w14:textId="77777777" w:rsidR="001E5344" w:rsidRPr="00687B22" w:rsidRDefault="001E5344" w:rsidP="001E5344">
                            <w:pPr>
                              <w:spacing w:after="0" w:line="120" w:lineRule="exact"/>
                              <w:rPr>
                                <w:rFonts w:cs="Times New Roman"/>
                                <w:sz w:val="16"/>
                              </w:rPr>
                            </w:pPr>
                            <w:r w:rsidRPr="00687B22">
                              <w:rPr>
                                <w:rFonts w:cs="Times New Roman"/>
                                <w:sz w:val="16"/>
                              </w:rPr>
                              <w:t>Heinrich Frhr. v. Stackelberg</w:t>
                            </w:r>
                          </w:p>
                          <w:p w14:paraId="46C8E717" w14:textId="6B5CAA6D" w:rsidR="001E5344" w:rsidRDefault="001E5344" w:rsidP="001E5344">
                            <w:pPr>
                              <w:spacing w:after="0" w:line="120" w:lineRule="exact"/>
                              <w:rPr>
                                <w:rFonts w:cs="Times New Roman"/>
                                <w:sz w:val="12"/>
                              </w:rPr>
                            </w:pPr>
                            <w:r w:rsidRPr="00687B22">
                              <w:rPr>
                                <w:rFonts w:cs="Times New Roman"/>
                                <w:sz w:val="12"/>
                              </w:rPr>
                              <w:t xml:space="preserve">        Rechtsanwalt</w:t>
                            </w:r>
                          </w:p>
                          <w:p w14:paraId="24562FEE" w14:textId="77777777" w:rsidR="001E5344" w:rsidRPr="00687B22" w:rsidRDefault="001E5344" w:rsidP="001E5344">
                            <w:pPr>
                              <w:spacing w:after="0" w:line="120" w:lineRule="exact"/>
                              <w:rPr>
                                <w:rFonts w:cs="Times New Roman"/>
                                <w:sz w:val="12"/>
                              </w:rPr>
                            </w:pPr>
                          </w:p>
                          <w:p w14:paraId="19797762" w14:textId="77777777" w:rsidR="001E5344" w:rsidRPr="00687B22" w:rsidRDefault="001E5344" w:rsidP="001E5344">
                            <w:pPr>
                              <w:spacing w:after="0" w:line="120" w:lineRule="exact"/>
                              <w:rPr>
                                <w:rFonts w:cs="Times New Roman"/>
                                <w:sz w:val="6"/>
                              </w:rPr>
                            </w:pPr>
                          </w:p>
                          <w:p w14:paraId="63E5ADBC" w14:textId="77777777" w:rsidR="001E5344" w:rsidRPr="00687B22" w:rsidRDefault="001E5344" w:rsidP="001E5344">
                            <w:pPr>
                              <w:spacing w:after="0" w:line="120" w:lineRule="exact"/>
                              <w:rPr>
                                <w:rFonts w:cs="Times New Roman"/>
                              </w:rPr>
                            </w:pPr>
                            <w:r w:rsidRPr="00687B22">
                              <w:rPr>
                                <w:rFonts w:cs="Times New Roman"/>
                                <w:sz w:val="16"/>
                              </w:rPr>
                              <w:t>Thomas Luithlen</w:t>
                            </w:r>
                          </w:p>
                          <w:p w14:paraId="7D46FBE8" w14:textId="77777777"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14:paraId="273AE1BA" w14:textId="77777777" w:rsidR="001E5344" w:rsidRPr="00687B22" w:rsidRDefault="001E5344" w:rsidP="001E5344">
                            <w:pPr>
                              <w:spacing w:after="0" w:line="240" w:lineRule="auto"/>
                              <w:rPr>
                                <w:rFonts w:cs="Times New Roman"/>
                                <w:sz w:val="14"/>
                              </w:rPr>
                            </w:pPr>
                          </w:p>
                          <w:p w14:paraId="18F26C86" w14:textId="333AA1C4" w:rsidR="001E5344" w:rsidRPr="00687B22" w:rsidRDefault="001E5344" w:rsidP="001E5344">
                            <w:pPr>
                              <w:spacing w:after="0" w:line="240" w:lineRule="auto"/>
                              <w:jc w:val="center"/>
                              <w:rPr>
                                <w:rFonts w:cs="Times New Roman"/>
                                <w:sz w:val="16"/>
                              </w:rPr>
                            </w:pPr>
                            <w:r w:rsidRPr="00687B22">
                              <w:rPr>
                                <w:rFonts w:cs="Times New Roman"/>
                                <w:sz w:val="16"/>
                              </w:rPr>
                              <w:t>Karl-Lederer-Platz 13</w:t>
                            </w:r>
                            <w:r w:rsidR="00156DB8">
                              <w:rPr>
                                <w:rFonts w:cs="Times New Roman"/>
                                <w:sz w:val="16"/>
                              </w:rPr>
                              <w:t xml:space="preserve">, </w:t>
                            </w:r>
                            <w:r w:rsidRPr="00687B22">
                              <w:rPr>
                                <w:rFonts w:cs="Times New Roman"/>
                                <w:sz w:val="16"/>
                              </w:rPr>
                              <w:t>82538 Geretsried</w:t>
                            </w:r>
                          </w:p>
                          <w:p w14:paraId="2739FCE4" w14:textId="77777777"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14:paraId="76A770BF" w14:textId="77777777"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5C146" id="_x0000_s1027" type="#_x0000_t202" style="position:absolute;margin-left:-6.35pt;margin-top:13.6pt;width:214.75pt;height:2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">
                <v:textbox>
                  <w:txbxContent>
                    <w:p w14:paraId="5F4A5349" w14:textId="77777777"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14:paraId="416A00A5" w14:textId="77777777"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14:paraId="1AA78DB7" w14:textId="77777777" w:rsidR="00471137" w:rsidRPr="00C56C01" w:rsidRDefault="00471137" w:rsidP="001E5344">
                      <w:pPr>
                        <w:spacing w:after="0" w:line="240" w:lineRule="auto"/>
                        <w:jc w:val="center"/>
                        <w:rPr>
                          <w:rFonts w:ascii="Copperplate32BC" w:hAnsi="Copperplate32BC"/>
                          <w:sz w:val="20"/>
                        </w:rPr>
                      </w:pPr>
                    </w:p>
                    <w:p w14:paraId="28F45BCE" w14:textId="77777777" w:rsidR="001E5344" w:rsidRPr="00C56C01" w:rsidRDefault="001E5344" w:rsidP="001E5344">
                      <w:pPr>
                        <w:spacing w:after="0" w:line="240" w:lineRule="auto"/>
                        <w:rPr>
                          <w:rFonts w:ascii="Copperplate32BC" w:hAnsi="Copperplate32BC"/>
                          <w:sz w:val="16"/>
                        </w:rPr>
                      </w:pPr>
                    </w:p>
                    <w:p w14:paraId="4172BBC3" w14:textId="77777777" w:rsidR="001E5344" w:rsidRPr="00687B22" w:rsidRDefault="001E5344" w:rsidP="001E5344">
                      <w:pPr>
                        <w:spacing w:after="0" w:line="120" w:lineRule="exact"/>
                        <w:rPr>
                          <w:rFonts w:cs="Times New Roman"/>
                          <w:sz w:val="16"/>
                        </w:rPr>
                      </w:pPr>
                      <w:r w:rsidRPr="00687B22">
                        <w:rPr>
                          <w:rFonts w:cs="Times New Roman"/>
                          <w:sz w:val="16"/>
                        </w:rPr>
                        <w:t>Dr. Jens Becker Platen</w:t>
                      </w:r>
                    </w:p>
                    <w:p w14:paraId="6999FE15" w14:textId="77777777"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14:paraId="53B54817" w14:textId="77777777" w:rsidR="001E5344" w:rsidRPr="00687B22" w:rsidRDefault="001E5344" w:rsidP="001E5344">
                      <w:pPr>
                        <w:spacing w:after="0" w:line="120" w:lineRule="exact"/>
                        <w:rPr>
                          <w:rFonts w:cs="Times New Roman"/>
                          <w:sz w:val="12"/>
                        </w:rPr>
                      </w:pPr>
                    </w:p>
                    <w:p w14:paraId="6C9B79BD" w14:textId="77777777" w:rsidR="001E5344" w:rsidRPr="00687B22" w:rsidRDefault="001E5344" w:rsidP="001E5344">
                      <w:pPr>
                        <w:spacing w:after="0" w:line="240" w:lineRule="auto"/>
                        <w:rPr>
                          <w:rFonts w:cs="Times New Roman"/>
                          <w:sz w:val="6"/>
                        </w:rPr>
                      </w:pPr>
                    </w:p>
                    <w:p w14:paraId="239A2A45" w14:textId="77777777" w:rsidR="001E5344" w:rsidRPr="00687B22" w:rsidRDefault="001E5344" w:rsidP="001E5344">
                      <w:pPr>
                        <w:spacing w:after="0" w:line="120" w:lineRule="exact"/>
                        <w:rPr>
                          <w:rFonts w:cs="Times New Roman"/>
                          <w:sz w:val="16"/>
                        </w:rPr>
                      </w:pPr>
                      <w:r w:rsidRPr="00687B22">
                        <w:rPr>
                          <w:rFonts w:cs="Times New Roman"/>
                          <w:sz w:val="16"/>
                        </w:rPr>
                        <w:t>Michaela Schmidt-Eberth</w:t>
                      </w:r>
                    </w:p>
                    <w:p w14:paraId="6C544E0A" w14:textId="77777777"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14:paraId="7942BF94" w14:textId="77777777" w:rsidR="001E5344" w:rsidRPr="00687B22" w:rsidRDefault="001E5344" w:rsidP="001E5344">
                      <w:pPr>
                        <w:spacing w:after="0" w:line="120" w:lineRule="exact"/>
                        <w:rPr>
                          <w:rFonts w:cs="Times New Roman"/>
                          <w:sz w:val="12"/>
                        </w:rPr>
                      </w:pPr>
                    </w:p>
                    <w:p w14:paraId="10BC8AFA" w14:textId="77777777" w:rsidR="001E5344" w:rsidRPr="00687B22" w:rsidRDefault="001E5344" w:rsidP="001E5344">
                      <w:pPr>
                        <w:spacing w:after="0" w:line="240" w:lineRule="auto"/>
                        <w:rPr>
                          <w:rFonts w:cs="Times New Roman"/>
                          <w:sz w:val="6"/>
                        </w:rPr>
                      </w:pPr>
                    </w:p>
                    <w:p w14:paraId="2C2C5630" w14:textId="77777777" w:rsidR="001E5344" w:rsidRPr="00687B22" w:rsidRDefault="001E5344" w:rsidP="001E5344">
                      <w:pPr>
                        <w:spacing w:after="0" w:line="120" w:lineRule="exact"/>
                        <w:rPr>
                          <w:rFonts w:cs="Times New Roman"/>
                          <w:sz w:val="16"/>
                        </w:rPr>
                      </w:pPr>
                      <w:r w:rsidRPr="00687B22">
                        <w:rPr>
                          <w:rFonts w:cs="Times New Roman"/>
                          <w:sz w:val="16"/>
                        </w:rPr>
                        <w:t>Michael Hopp</w:t>
                      </w:r>
                    </w:p>
                    <w:p w14:paraId="3BF34036" w14:textId="0435B3D1"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r w:rsidR="00156DB8">
                        <w:rPr>
                          <w:rFonts w:cs="Times New Roman"/>
                          <w:sz w:val="12"/>
                        </w:rPr>
                        <w:t xml:space="preserve"> und Arbeitsrecht</w:t>
                      </w:r>
                    </w:p>
                    <w:p w14:paraId="7DF32A1C" w14:textId="77777777" w:rsidR="001E5344" w:rsidRPr="00687B22" w:rsidRDefault="001E5344" w:rsidP="001E5344">
                      <w:pPr>
                        <w:spacing w:after="0" w:line="120" w:lineRule="exact"/>
                        <w:rPr>
                          <w:rFonts w:cs="Times New Roman"/>
                          <w:sz w:val="12"/>
                        </w:rPr>
                      </w:pPr>
                    </w:p>
                    <w:p w14:paraId="74A373D9" w14:textId="77777777" w:rsidR="001E5344" w:rsidRPr="00687B22" w:rsidRDefault="001E5344" w:rsidP="001E5344">
                      <w:pPr>
                        <w:spacing w:after="0" w:line="240" w:lineRule="auto"/>
                        <w:rPr>
                          <w:rFonts w:cs="Times New Roman"/>
                          <w:sz w:val="6"/>
                        </w:rPr>
                      </w:pPr>
                    </w:p>
                    <w:p w14:paraId="3DA03974" w14:textId="77777777" w:rsidR="001E5344" w:rsidRPr="00687B22" w:rsidRDefault="001E5344" w:rsidP="001E5344">
                      <w:pPr>
                        <w:spacing w:after="0" w:line="120" w:lineRule="exact"/>
                        <w:rPr>
                          <w:rFonts w:cs="Times New Roman"/>
                          <w:sz w:val="16"/>
                        </w:rPr>
                      </w:pPr>
                      <w:r w:rsidRPr="00687B22">
                        <w:rPr>
                          <w:rFonts w:cs="Times New Roman"/>
                          <w:sz w:val="16"/>
                        </w:rPr>
                        <w:t>Heinrich Frhr. v. Stackelberg</w:t>
                      </w:r>
                    </w:p>
                    <w:p w14:paraId="46C8E717" w14:textId="6B5CAA6D" w:rsidR="001E5344" w:rsidRDefault="001E5344" w:rsidP="001E5344">
                      <w:pPr>
                        <w:spacing w:after="0" w:line="120" w:lineRule="exact"/>
                        <w:rPr>
                          <w:rFonts w:cs="Times New Roman"/>
                          <w:sz w:val="12"/>
                        </w:rPr>
                      </w:pPr>
                      <w:r w:rsidRPr="00687B22">
                        <w:rPr>
                          <w:rFonts w:cs="Times New Roman"/>
                          <w:sz w:val="12"/>
                        </w:rPr>
                        <w:t xml:space="preserve">        Rechtsanwalt</w:t>
                      </w:r>
                    </w:p>
                    <w:p w14:paraId="24562FEE" w14:textId="77777777" w:rsidR="001E5344" w:rsidRPr="00687B22" w:rsidRDefault="001E5344" w:rsidP="001E5344">
                      <w:pPr>
                        <w:spacing w:after="0" w:line="120" w:lineRule="exact"/>
                        <w:rPr>
                          <w:rFonts w:cs="Times New Roman"/>
                          <w:sz w:val="12"/>
                        </w:rPr>
                      </w:pPr>
                    </w:p>
                    <w:p w14:paraId="19797762" w14:textId="77777777" w:rsidR="001E5344" w:rsidRPr="00687B22" w:rsidRDefault="001E5344" w:rsidP="001E5344">
                      <w:pPr>
                        <w:spacing w:after="0" w:line="120" w:lineRule="exact"/>
                        <w:rPr>
                          <w:rFonts w:cs="Times New Roman"/>
                          <w:sz w:val="6"/>
                        </w:rPr>
                      </w:pPr>
                    </w:p>
                    <w:p w14:paraId="63E5ADBC" w14:textId="77777777" w:rsidR="001E5344" w:rsidRPr="00687B22" w:rsidRDefault="001E5344" w:rsidP="001E5344">
                      <w:pPr>
                        <w:spacing w:after="0" w:line="120" w:lineRule="exact"/>
                        <w:rPr>
                          <w:rFonts w:cs="Times New Roman"/>
                        </w:rPr>
                      </w:pPr>
                      <w:r w:rsidRPr="00687B22">
                        <w:rPr>
                          <w:rFonts w:cs="Times New Roman"/>
                          <w:sz w:val="16"/>
                        </w:rPr>
                        <w:t>Thomas Luithlen</w:t>
                      </w:r>
                    </w:p>
                    <w:p w14:paraId="7D46FBE8" w14:textId="77777777"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14:paraId="273AE1BA" w14:textId="77777777" w:rsidR="001E5344" w:rsidRPr="00687B22" w:rsidRDefault="001E5344" w:rsidP="001E5344">
                      <w:pPr>
                        <w:spacing w:after="0" w:line="240" w:lineRule="auto"/>
                        <w:rPr>
                          <w:rFonts w:cs="Times New Roman"/>
                          <w:sz w:val="14"/>
                        </w:rPr>
                      </w:pPr>
                    </w:p>
                    <w:p w14:paraId="18F26C86" w14:textId="333AA1C4" w:rsidR="001E5344" w:rsidRPr="00687B22" w:rsidRDefault="001E5344" w:rsidP="001E5344">
                      <w:pPr>
                        <w:spacing w:after="0" w:line="240" w:lineRule="auto"/>
                        <w:jc w:val="center"/>
                        <w:rPr>
                          <w:rFonts w:cs="Times New Roman"/>
                          <w:sz w:val="16"/>
                        </w:rPr>
                      </w:pPr>
                      <w:r w:rsidRPr="00687B22">
                        <w:rPr>
                          <w:rFonts w:cs="Times New Roman"/>
                          <w:sz w:val="16"/>
                        </w:rPr>
                        <w:t>Karl-Lederer-Platz 13</w:t>
                      </w:r>
                      <w:r w:rsidR="00156DB8">
                        <w:rPr>
                          <w:rFonts w:cs="Times New Roman"/>
                          <w:sz w:val="16"/>
                        </w:rPr>
                        <w:t xml:space="preserve">, </w:t>
                      </w:r>
                      <w:r w:rsidRPr="00687B22">
                        <w:rPr>
                          <w:rFonts w:cs="Times New Roman"/>
                          <w:sz w:val="16"/>
                        </w:rPr>
                        <w:t>82538 Geretsried</w:t>
                      </w:r>
                    </w:p>
                    <w:p w14:paraId="2739FCE4" w14:textId="77777777"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14:paraId="76A770BF" w14:textId="77777777"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14:paraId="511D5EA4" w14:textId="31F97B8B" w:rsidR="007C427B" w:rsidRPr="00A2710A" w:rsidRDefault="00655F43" w:rsidP="005749D7">
      <w:pPr>
        <w:pStyle w:val="NurText"/>
      </w:pPr>
      <w:r w:rsidRPr="00A2710A">
        <w:t xml:space="preserve"> </w:t>
      </w:r>
    </w:p>
    <w:p w14:paraId="6EC4AB2B" w14:textId="77777777" w:rsidR="007C427B" w:rsidRPr="00A2710A" w:rsidRDefault="007C427B" w:rsidP="00F16BD1">
      <w:pPr>
        <w:pStyle w:val="KeinLeerraum"/>
        <w:jc w:val="both"/>
        <w:rPr>
          <w:rFonts w:cs="Times New Roman"/>
        </w:rPr>
      </w:pPr>
    </w:p>
    <w:p w14:paraId="09E7788D" w14:textId="77777777" w:rsidR="007C427B" w:rsidRPr="00A2710A" w:rsidRDefault="007C427B" w:rsidP="00F16BD1">
      <w:pPr>
        <w:pStyle w:val="KeinLeerraum"/>
        <w:jc w:val="both"/>
        <w:rPr>
          <w:rFonts w:cs="Times New Roman"/>
        </w:rPr>
      </w:pPr>
    </w:p>
    <w:p w14:paraId="10086A4E" w14:textId="77777777" w:rsidR="0041131A" w:rsidRPr="00A2710A" w:rsidRDefault="0041131A" w:rsidP="00F16BD1">
      <w:pPr>
        <w:pStyle w:val="KeinLeerraum"/>
        <w:jc w:val="both"/>
        <w:rPr>
          <w:rFonts w:cs="Times New Roman"/>
        </w:rPr>
      </w:pPr>
    </w:p>
    <w:p w14:paraId="2DE2E4D7" w14:textId="77777777" w:rsidR="007C427B" w:rsidRPr="00A2710A" w:rsidRDefault="007C427B" w:rsidP="00F16BD1">
      <w:pPr>
        <w:pStyle w:val="KeinLeerraum"/>
        <w:jc w:val="both"/>
        <w:rPr>
          <w:rFonts w:cs="Times New Roman"/>
        </w:rPr>
      </w:pPr>
    </w:p>
    <w:p w14:paraId="7471CFEA" w14:textId="77777777" w:rsidR="007C427B" w:rsidRPr="00A2710A" w:rsidRDefault="007C427B" w:rsidP="00F16BD1">
      <w:pPr>
        <w:pStyle w:val="KeinLeerraum"/>
        <w:jc w:val="both"/>
        <w:rPr>
          <w:rFonts w:cs="Times New Roman"/>
        </w:rPr>
      </w:pPr>
    </w:p>
    <w:p w14:paraId="4D422C9B" w14:textId="77777777" w:rsidR="007C427B" w:rsidRPr="00A2710A" w:rsidRDefault="007C427B" w:rsidP="00F16BD1">
      <w:pPr>
        <w:pStyle w:val="KeinLeerraum"/>
        <w:jc w:val="both"/>
        <w:rPr>
          <w:rFonts w:cs="Times New Roman"/>
        </w:rPr>
      </w:pPr>
    </w:p>
    <w:p w14:paraId="7EB62606" w14:textId="77777777" w:rsidR="007C427B" w:rsidRPr="00A2710A" w:rsidRDefault="007C427B" w:rsidP="00F16BD1">
      <w:pPr>
        <w:pStyle w:val="KeinLeerraum"/>
        <w:jc w:val="both"/>
        <w:rPr>
          <w:rFonts w:cs="Times New Roman"/>
        </w:rPr>
      </w:pPr>
    </w:p>
    <w:p w14:paraId="2CDDADB7" w14:textId="77777777" w:rsidR="007C427B" w:rsidRPr="00A2710A" w:rsidRDefault="007C427B" w:rsidP="00F16BD1">
      <w:pPr>
        <w:pStyle w:val="KeinLeerraum"/>
        <w:jc w:val="both"/>
        <w:rPr>
          <w:rFonts w:cs="Times New Roman"/>
        </w:rPr>
      </w:pPr>
    </w:p>
    <w:p w14:paraId="4F5E10EF" w14:textId="77777777"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altName w:val="Cambria"/>
    <w:panose1 w:val="00000000000000000000"/>
    <w:charset w:val="00"/>
    <w:family w:val="roman"/>
    <w:notTrueType/>
    <w:pitch w:val="variable"/>
    <w:sig w:usb0="00000003" w:usb1="00000000" w:usb2="00000000" w:usb3="00000000" w:csb0="00000001" w:csb1="00000000"/>
  </w:font>
  <w:font w:name="Copperplate32BC">
    <w:altName w:val="Cambria"/>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A1E"/>
    <w:rsid w:val="0000368A"/>
    <w:rsid w:val="0000539D"/>
    <w:rsid w:val="00012FB5"/>
    <w:rsid w:val="00023589"/>
    <w:rsid w:val="00025266"/>
    <w:rsid w:val="00030C57"/>
    <w:rsid w:val="00032DFD"/>
    <w:rsid w:val="00033A05"/>
    <w:rsid w:val="00036335"/>
    <w:rsid w:val="00036EA1"/>
    <w:rsid w:val="00037A29"/>
    <w:rsid w:val="00041914"/>
    <w:rsid w:val="000460E5"/>
    <w:rsid w:val="00051F36"/>
    <w:rsid w:val="00052640"/>
    <w:rsid w:val="00054710"/>
    <w:rsid w:val="00054BE3"/>
    <w:rsid w:val="000557B2"/>
    <w:rsid w:val="0005639D"/>
    <w:rsid w:val="0005726D"/>
    <w:rsid w:val="0006078E"/>
    <w:rsid w:val="000639B1"/>
    <w:rsid w:val="0006423F"/>
    <w:rsid w:val="0006635C"/>
    <w:rsid w:val="000669C3"/>
    <w:rsid w:val="00072642"/>
    <w:rsid w:val="00077791"/>
    <w:rsid w:val="00081148"/>
    <w:rsid w:val="00081407"/>
    <w:rsid w:val="000874D5"/>
    <w:rsid w:val="00093902"/>
    <w:rsid w:val="000A022A"/>
    <w:rsid w:val="000A3016"/>
    <w:rsid w:val="000A4194"/>
    <w:rsid w:val="000A7DE0"/>
    <w:rsid w:val="000B142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2284"/>
    <w:rsid w:val="00107AE4"/>
    <w:rsid w:val="00111066"/>
    <w:rsid w:val="0011246D"/>
    <w:rsid w:val="00112CFD"/>
    <w:rsid w:val="00114DDD"/>
    <w:rsid w:val="00114F55"/>
    <w:rsid w:val="00120AF7"/>
    <w:rsid w:val="0012316C"/>
    <w:rsid w:val="00124835"/>
    <w:rsid w:val="00130DFD"/>
    <w:rsid w:val="0013254E"/>
    <w:rsid w:val="00134C7F"/>
    <w:rsid w:val="001375AE"/>
    <w:rsid w:val="00140F8A"/>
    <w:rsid w:val="00141F2D"/>
    <w:rsid w:val="001466EA"/>
    <w:rsid w:val="00156DB8"/>
    <w:rsid w:val="00162CAC"/>
    <w:rsid w:val="00174475"/>
    <w:rsid w:val="001745A0"/>
    <w:rsid w:val="00175CBB"/>
    <w:rsid w:val="001766EF"/>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C6104"/>
    <w:rsid w:val="001D3B3E"/>
    <w:rsid w:val="001E00D3"/>
    <w:rsid w:val="001E1622"/>
    <w:rsid w:val="001E1FDB"/>
    <w:rsid w:val="001E4E3A"/>
    <w:rsid w:val="001E5344"/>
    <w:rsid w:val="001E5925"/>
    <w:rsid w:val="001E5EFE"/>
    <w:rsid w:val="001F048B"/>
    <w:rsid w:val="001F5688"/>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17E6"/>
    <w:rsid w:val="00232F4F"/>
    <w:rsid w:val="00236A45"/>
    <w:rsid w:val="002370DE"/>
    <w:rsid w:val="00256516"/>
    <w:rsid w:val="00256BB2"/>
    <w:rsid w:val="002623F3"/>
    <w:rsid w:val="00264863"/>
    <w:rsid w:val="00265A05"/>
    <w:rsid w:val="00271141"/>
    <w:rsid w:val="00271538"/>
    <w:rsid w:val="00284B63"/>
    <w:rsid w:val="002927EC"/>
    <w:rsid w:val="00294681"/>
    <w:rsid w:val="00295A06"/>
    <w:rsid w:val="002A1EF2"/>
    <w:rsid w:val="002A41CE"/>
    <w:rsid w:val="002A6752"/>
    <w:rsid w:val="002A7469"/>
    <w:rsid w:val="002A7A3B"/>
    <w:rsid w:val="002A7A9D"/>
    <w:rsid w:val="002B4C94"/>
    <w:rsid w:val="002C4D08"/>
    <w:rsid w:val="002C5E02"/>
    <w:rsid w:val="002D4B52"/>
    <w:rsid w:val="002D63AE"/>
    <w:rsid w:val="002E0B91"/>
    <w:rsid w:val="002E60A0"/>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12A9"/>
    <w:rsid w:val="00333BA2"/>
    <w:rsid w:val="00336775"/>
    <w:rsid w:val="0034301F"/>
    <w:rsid w:val="00344EA1"/>
    <w:rsid w:val="0034564B"/>
    <w:rsid w:val="003522CD"/>
    <w:rsid w:val="003539D9"/>
    <w:rsid w:val="0035647B"/>
    <w:rsid w:val="00360D25"/>
    <w:rsid w:val="00364A9D"/>
    <w:rsid w:val="00366B29"/>
    <w:rsid w:val="00366DEA"/>
    <w:rsid w:val="00373CB5"/>
    <w:rsid w:val="00374B51"/>
    <w:rsid w:val="00376F02"/>
    <w:rsid w:val="003805D4"/>
    <w:rsid w:val="003821D7"/>
    <w:rsid w:val="00385F93"/>
    <w:rsid w:val="00386426"/>
    <w:rsid w:val="00391243"/>
    <w:rsid w:val="00392A2C"/>
    <w:rsid w:val="00397864"/>
    <w:rsid w:val="003A0296"/>
    <w:rsid w:val="003A21CB"/>
    <w:rsid w:val="003A3D51"/>
    <w:rsid w:val="003A4136"/>
    <w:rsid w:val="003A6384"/>
    <w:rsid w:val="003A66B3"/>
    <w:rsid w:val="003B068A"/>
    <w:rsid w:val="003B252E"/>
    <w:rsid w:val="003B2E5F"/>
    <w:rsid w:val="003B3EEB"/>
    <w:rsid w:val="003B4443"/>
    <w:rsid w:val="003B5986"/>
    <w:rsid w:val="003B6A0C"/>
    <w:rsid w:val="003C16FA"/>
    <w:rsid w:val="003C3731"/>
    <w:rsid w:val="003D006E"/>
    <w:rsid w:val="003D22CC"/>
    <w:rsid w:val="003D5675"/>
    <w:rsid w:val="003D692F"/>
    <w:rsid w:val="003D7858"/>
    <w:rsid w:val="003E1559"/>
    <w:rsid w:val="003E59C5"/>
    <w:rsid w:val="003F11C7"/>
    <w:rsid w:val="003F171B"/>
    <w:rsid w:val="003F79AF"/>
    <w:rsid w:val="00400456"/>
    <w:rsid w:val="004048FD"/>
    <w:rsid w:val="00406D4F"/>
    <w:rsid w:val="0041131A"/>
    <w:rsid w:val="00415FF2"/>
    <w:rsid w:val="004203F0"/>
    <w:rsid w:val="00421B19"/>
    <w:rsid w:val="00422D09"/>
    <w:rsid w:val="004238C1"/>
    <w:rsid w:val="004310C9"/>
    <w:rsid w:val="00432043"/>
    <w:rsid w:val="00432A33"/>
    <w:rsid w:val="00452DD5"/>
    <w:rsid w:val="004530E6"/>
    <w:rsid w:val="00454287"/>
    <w:rsid w:val="00456F6B"/>
    <w:rsid w:val="00457C17"/>
    <w:rsid w:val="00463FF8"/>
    <w:rsid w:val="004643D5"/>
    <w:rsid w:val="00466682"/>
    <w:rsid w:val="00470A9B"/>
    <w:rsid w:val="00471137"/>
    <w:rsid w:val="0047374C"/>
    <w:rsid w:val="00475064"/>
    <w:rsid w:val="00475C68"/>
    <w:rsid w:val="004850BB"/>
    <w:rsid w:val="004853B0"/>
    <w:rsid w:val="00493550"/>
    <w:rsid w:val="004937AC"/>
    <w:rsid w:val="0049594B"/>
    <w:rsid w:val="00495DB6"/>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289"/>
    <w:rsid w:val="00573F33"/>
    <w:rsid w:val="005749D7"/>
    <w:rsid w:val="005754BD"/>
    <w:rsid w:val="005779EB"/>
    <w:rsid w:val="00577F14"/>
    <w:rsid w:val="0058003F"/>
    <w:rsid w:val="0058014E"/>
    <w:rsid w:val="00582153"/>
    <w:rsid w:val="00583ED6"/>
    <w:rsid w:val="00591633"/>
    <w:rsid w:val="005927E9"/>
    <w:rsid w:val="00595BFB"/>
    <w:rsid w:val="0059626E"/>
    <w:rsid w:val="005A198B"/>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47C4"/>
    <w:rsid w:val="00605856"/>
    <w:rsid w:val="006102C1"/>
    <w:rsid w:val="006106D6"/>
    <w:rsid w:val="00614B0D"/>
    <w:rsid w:val="006209B9"/>
    <w:rsid w:val="006230F9"/>
    <w:rsid w:val="00623201"/>
    <w:rsid w:val="00623859"/>
    <w:rsid w:val="006245EB"/>
    <w:rsid w:val="00626B1A"/>
    <w:rsid w:val="00634308"/>
    <w:rsid w:val="00635D66"/>
    <w:rsid w:val="006361D2"/>
    <w:rsid w:val="0064145A"/>
    <w:rsid w:val="0064187C"/>
    <w:rsid w:val="0064688B"/>
    <w:rsid w:val="00655F43"/>
    <w:rsid w:val="0065677F"/>
    <w:rsid w:val="00657ECD"/>
    <w:rsid w:val="006600BE"/>
    <w:rsid w:val="00671966"/>
    <w:rsid w:val="00673F90"/>
    <w:rsid w:val="00677504"/>
    <w:rsid w:val="00680628"/>
    <w:rsid w:val="00681AF8"/>
    <w:rsid w:val="00686F3A"/>
    <w:rsid w:val="00687B22"/>
    <w:rsid w:val="0069034D"/>
    <w:rsid w:val="00690594"/>
    <w:rsid w:val="006925CB"/>
    <w:rsid w:val="00693C02"/>
    <w:rsid w:val="00697F68"/>
    <w:rsid w:val="006A138E"/>
    <w:rsid w:val="006B28C0"/>
    <w:rsid w:val="006B6F81"/>
    <w:rsid w:val="006C63AC"/>
    <w:rsid w:val="006C7730"/>
    <w:rsid w:val="006D4B85"/>
    <w:rsid w:val="006D5A1E"/>
    <w:rsid w:val="006D5D8C"/>
    <w:rsid w:val="006E7255"/>
    <w:rsid w:val="006E7EE6"/>
    <w:rsid w:val="006F03D7"/>
    <w:rsid w:val="006F54D8"/>
    <w:rsid w:val="006F6CD3"/>
    <w:rsid w:val="006F7034"/>
    <w:rsid w:val="007008D7"/>
    <w:rsid w:val="00700A5D"/>
    <w:rsid w:val="00702467"/>
    <w:rsid w:val="007156B8"/>
    <w:rsid w:val="00722716"/>
    <w:rsid w:val="007255D7"/>
    <w:rsid w:val="007304B9"/>
    <w:rsid w:val="0073400C"/>
    <w:rsid w:val="007357BF"/>
    <w:rsid w:val="0075664B"/>
    <w:rsid w:val="00761A87"/>
    <w:rsid w:val="00763C22"/>
    <w:rsid w:val="00764BE7"/>
    <w:rsid w:val="0076545E"/>
    <w:rsid w:val="00766E60"/>
    <w:rsid w:val="00770CD4"/>
    <w:rsid w:val="00773E7C"/>
    <w:rsid w:val="00776757"/>
    <w:rsid w:val="00776EB2"/>
    <w:rsid w:val="00777989"/>
    <w:rsid w:val="0078104E"/>
    <w:rsid w:val="00784DA9"/>
    <w:rsid w:val="00784E64"/>
    <w:rsid w:val="007858A6"/>
    <w:rsid w:val="00792404"/>
    <w:rsid w:val="00795A9E"/>
    <w:rsid w:val="007961AB"/>
    <w:rsid w:val="007A21D0"/>
    <w:rsid w:val="007A6705"/>
    <w:rsid w:val="007B1699"/>
    <w:rsid w:val="007B4EB6"/>
    <w:rsid w:val="007C427B"/>
    <w:rsid w:val="007D2F4F"/>
    <w:rsid w:val="007D3142"/>
    <w:rsid w:val="007D41D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25AF"/>
    <w:rsid w:val="008263CC"/>
    <w:rsid w:val="0082772A"/>
    <w:rsid w:val="008331A7"/>
    <w:rsid w:val="00834669"/>
    <w:rsid w:val="00837DB6"/>
    <w:rsid w:val="008420B0"/>
    <w:rsid w:val="008464B3"/>
    <w:rsid w:val="00851F7D"/>
    <w:rsid w:val="0085589B"/>
    <w:rsid w:val="008563CD"/>
    <w:rsid w:val="00857A7D"/>
    <w:rsid w:val="008648B0"/>
    <w:rsid w:val="00872DD4"/>
    <w:rsid w:val="00876F85"/>
    <w:rsid w:val="00877D5C"/>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E1972"/>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6ADF"/>
    <w:rsid w:val="009578BB"/>
    <w:rsid w:val="009603C2"/>
    <w:rsid w:val="00961DE0"/>
    <w:rsid w:val="009626A8"/>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019A"/>
    <w:rsid w:val="009D717F"/>
    <w:rsid w:val="009E07AC"/>
    <w:rsid w:val="009E27FB"/>
    <w:rsid w:val="009E3F68"/>
    <w:rsid w:val="00A00381"/>
    <w:rsid w:val="00A00F63"/>
    <w:rsid w:val="00A010B5"/>
    <w:rsid w:val="00A01125"/>
    <w:rsid w:val="00A02B04"/>
    <w:rsid w:val="00A03FA7"/>
    <w:rsid w:val="00A043C4"/>
    <w:rsid w:val="00A07AEB"/>
    <w:rsid w:val="00A21113"/>
    <w:rsid w:val="00A233C0"/>
    <w:rsid w:val="00A2440B"/>
    <w:rsid w:val="00A266BF"/>
    <w:rsid w:val="00A2710A"/>
    <w:rsid w:val="00A4659F"/>
    <w:rsid w:val="00A5144F"/>
    <w:rsid w:val="00A5151B"/>
    <w:rsid w:val="00A53993"/>
    <w:rsid w:val="00A54602"/>
    <w:rsid w:val="00A54F86"/>
    <w:rsid w:val="00A563F1"/>
    <w:rsid w:val="00A66F4F"/>
    <w:rsid w:val="00A70069"/>
    <w:rsid w:val="00A81434"/>
    <w:rsid w:val="00A82B02"/>
    <w:rsid w:val="00AA3329"/>
    <w:rsid w:val="00AB23E5"/>
    <w:rsid w:val="00AC2CC8"/>
    <w:rsid w:val="00AC56AF"/>
    <w:rsid w:val="00AD00D9"/>
    <w:rsid w:val="00AD4FAB"/>
    <w:rsid w:val="00AD6B67"/>
    <w:rsid w:val="00AE690E"/>
    <w:rsid w:val="00AF120F"/>
    <w:rsid w:val="00AF57D7"/>
    <w:rsid w:val="00AF6168"/>
    <w:rsid w:val="00AF6CAB"/>
    <w:rsid w:val="00B0103E"/>
    <w:rsid w:val="00B023C7"/>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45A21"/>
    <w:rsid w:val="00B45A56"/>
    <w:rsid w:val="00B500FC"/>
    <w:rsid w:val="00B56758"/>
    <w:rsid w:val="00B62C37"/>
    <w:rsid w:val="00B673DC"/>
    <w:rsid w:val="00B716D0"/>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C5B01"/>
    <w:rsid w:val="00BD550B"/>
    <w:rsid w:val="00BD67DE"/>
    <w:rsid w:val="00BE1AB1"/>
    <w:rsid w:val="00BE6120"/>
    <w:rsid w:val="00BE7524"/>
    <w:rsid w:val="00BF0529"/>
    <w:rsid w:val="00BF43FA"/>
    <w:rsid w:val="00BF58D0"/>
    <w:rsid w:val="00BF62E8"/>
    <w:rsid w:val="00C00761"/>
    <w:rsid w:val="00C00989"/>
    <w:rsid w:val="00C00B2E"/>
    <w:rsid w:val="00C02FCF"/>
    <w:rsid w:val="00C03ED6"/>
    <w:rsid w:val="00C05380"/>
    <w:rsid w:val="00C07B05"/>
    <w:rsid w:val="00C12F32"/>
    <w:rsid w:val="00C13097"/>
    <w:rsid w:val="00C162CD"/>
    <w:rsid w:val="00C20CAA"/>
    <w:rsid w:val="00C22C92"/>
    <w:rsid w:val="00C24730"/>
    <w:rsid w:val="00C251B4"/>
    <w:rsid w:val="00C25EE4"/>
    <w:rsid w:val="00C26CC3"/>
    <w:rsid w:val="00C27C6E"/>
    <w:rsid w:val="00C41029"/>
    <w:rsid w:val="00C414B4"/>
    <w:rsid w:val="00C42362"/>
    <w:rsid w:val="00C446AF"/>
    <w:rsid w:val="00C46943"/>
    <w:rsid w:val="00C5173A"/>
    <w:rsid w:val="00C548FB"/>
    <w:rsid w:val="00C624F1"/>
    <w:rsid w:val="00C63C81"/>
    <w:rsid w:val="00C66441"/>
    <w:rsid w:val="00C67454"/>
    <w:rsid w:val="00C6761E"/>
    <w:rsid w:val="00C72F01"/>
    <w:rsid w:val="00C748D7"/>
    <w:rsid w:val="00C7662F"/>
    <w:rsid w:val="00C76767"/>
    <w:rsid w:val="00C76FBB"/>
    <w:rsid w:val="00C800F2"/>
    <w:rsid w:val="00C80531"/>
    <w:rsid w:val="00C813DD"/>
    <w:rsid w:val="00C817AB"/>
    <w:rsid w:val="00C81F09"/>
    <w:rsid w:val="00C85917"/>
    <w:rsid w:val="00C86916"/>
    <w:rsid w:val="00C91916"/>
    <w:rsid w:val="00C9255B"/>
    <w:rsid w:val="00C97136"/>
    <w:rsid w:val="00CA35B6"/>
    <w:rsid w:val="00CB1FAD"/>
    <w:rsid w:val="00CB290D"/>
    <w:rsid w:val="00CB3D6A"/>
    <w:rsid w:val="00CB5323"/>
    <w:rsid w:val="00CB5376"/>
    <w:rsid w:val="00CB5D7E"/>
    <w:rsid w:val="00CC3018"/>
    <w:rsid w:val="00CC6347"/>
    <w:rsid w:val="00CC7B02"/>
    <w:rsid w:val="00CD0574"/>
    <w:rsid w:val="00CD1172"/>
    <w:rsid w:val="00CD24E6"/>
    <w:rsid w:val="00CD42C9"/>
    <w:rsid w:val="00CD782B"/>
    <w:rsid w:val="00CE262C"/>
    <w:rsid w:val="00CF1243"/>
    <w:rsid w:val="00D00787"/>
    <w:rsid w:val="00D011F8"/>
    <w:rsid w:val="00D023F4"/>
    <w:rsid w:val="00D04FE6"/>
    <w:rsid w:val="00D06B00"/>
    <w:rsid w:val="00D11C39"/>
    <w:rsid w:val="00D170B8"/>
    <w:rsid w:val="00D17E08"/>
    <w:rsid w:val="00D23945"/>
    <w:rsid w:val="00D30BBD"/>
    <w:rsid w:val="00D30D81"/>
    <w:rsid w:val="00D3799D"/>
    <w:rsid w:val="00D37A5A"/>
    <w:rsid w:val="00D402E7"/>
    <w:rsid w:val="00D40A7E"/>
    <w:rsid w:val="00D40B3C"/>
    <w:rsid w:val="00D478B2"/>
    <w:rsid w:val="00D5509D"/>
    <w:rsid w:val="00D60B51"/>
    <w:rsid w:val="00D63FA2"/>
    <w:rsid w:val="00D64027"/>
    <w:rsid w:val="00D641A0"/>
    <w:rsid w:val="00D65A76"/>
    <w:rsid w:val="00D716EF"/>
    <w:rsid w:val="00D7215A"/>
    <w:rsid w:val="00D7229F"/>
    <w:rsid w:val="00D735C6"/>
    <w:rsid w:val="00D76018"/>
    <w:rsid w:val="00D84249"/>
    <w:rsid w:val="00D85E19"/>
    <w:rsid w:val="00D92A77"/>
    <w:rsid w:val="00DA2720"/>
    <w:rsid w:val="00DB29C1"/>
    <w:rsid w:val="00DB40BA"/>
    <w:rsid w:val="00DB4C16"/>
    <w:rsid w:val="00DC281D"/>
    <w:rsid w:val="00DC3E06"/>
    <w:rsid w:val="00DC51E9"/>
    <w:rsid w:val="00DD138F"/>
    <w:rsid w:val="00DD28CA"/>
    <w:rsid w:val="00DD404C"/>
    <w:rsid w:val="00DE0FD1"/>
    <w:rsid w:val="00DE2136"/>
    <w:rsid w:val="00DE4F90"/>
    <w:rsid w:val="00DE7E90"/>
    <w:rsid w:val="00DF083C"/>
    <w:rsid w:val="00DF21D7"/>
    <w:rsid w:val="00E02823"/>
    <w:rsid w:val="00E038EB"/>
    <w:rsid w:val="00E12A92"/>
    <w:rsid w:val="00E13739"/>
    <w:rsid w:val="00E147D7"/>
    <w:rsid w:val="00E14F58"/>
    <w:rsid w:val="00E15815"/>
    <w:rsid w:val="00E15D65"/>
    <w:rsid w:val="00E16916"/>
    <w:rsid w:val="00E1738B"/>
    <w:rsid w:val="00E21339"/>
    <w:rsid w:val="00E30406"/>
    <w:rsid w:val="00E32087"/>
    <w:rsid w:val="00E343B8"/>
    <w:rsid w:val="00E34B62"/>
    <w:rsid w:val="00E35EBE"/>
    <w:rsid w:val="00E45714"/>
    <w:rsid w:val="00E4770E"/>
    <w:rsid w:val="00E52A42"/>
    <w:rsid w:val="00E54C87"/>
    <w:rsid w:val="00E54ECA"/>
    <w:rsid w:val="00E57521"/>
    <w:rsid w:val="00E60963"/>
    <w:rsid w:val="00E60C33"/>
    <w:rsid w:val="00E60FAD"/>
    <w:rsid w:val="00E66D8C"/>
    <w:rsid w:val="00E71BCE"/>
    <w:rsid w:val="00E75947"/>
    <w:rsid w:val="00E7642D"/>
    <w:rsid w:val="00E76E26"/>
    <w:rsid w:val="00E77BB9"/>
    <w:rsid w:val="00E80B6B"/>
    <w:rsid w:val="00E86D8C"/>
    <w:rsid w:val="00E87209"/>
    <w:rsid w:val="00E9186B"/>
    <w:rsid w:val="00EA163E"/>
    <w:rsid w:val="00EB4AC6"/>
    <w:rsid w:val="00EB5115"/>
    <w:rsid w:val="00EB704E"/>
    <w:rsid w:val="00EC07D9"/>
    <w:rsid w:val="00EC6CAD"/>
    <w:rsid w:val="00ED0750"/>
    <w:rsid w:val="00ED1241"/>
    <w:rsid w:val="00ED3698"/>
    <w:rsid w:val="00ED431B"/>
    <w:rsid w:val="00ED7A22"/>
    <w:rsid w:val="00EE3699"/>
    <w:rsid w:val="00EE5B8A"/>
    <w:rsid w:val="00EF2BF1"/>
    <w:rsid w:val="00EF5CA5"/>
    <w:rsid w:val="00EF65E1"/>
    <w:rsid w:val="00EF7F3A"/>
    <w:rsid w:val="00F03078"/>
    <w:rsid w:val="00F04689"/>
    <w:rsid w:val="00F04D44"/>
    <w:rsid w:val="00F074B5"/>
    <w:rsid w:val="00F123E9"/>
    <w:rsid w:val="00F16BD1"/>
    <w:rsid w:val="00F2170D"/>
    <w:rsid w:val="00F2599E"/>
    <w:rsid w:val="00F26397"/>
    <w:rsid w:val="00F31344"/>
    <w:rsid w:val="00F35515"/>
    <w:rsid w:val="00F35C8F"/>
    <w:rsid w:val="00F3678C"/>
    <w:rsid w:val="00F36F4F"/>
    <w:rsid w:val="00F476EC"/>
    <w:rsid w:val="00F524B0"/>
    <w:rsid w:val="00F55765"/>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C26"/>
    <w:rsid w:val="00F95FDC"/>
    <w:rsid w:val="00FA142D"/>
    <w:rsid w:val="00FA1DEE"/>
    <w:rsid w:val="00FB2451"/>
    <w:rsid w:val="00FB5FDB"/>
    <w:rsid w:val="00FB7E93"/>
    <w:rsid w:val="00FC3C05"/>
    <w:rsid w:val="00FC6C4E"/>
    <w:rsid w:val="00FD07F1"/>
    <w:rsid w:val="00FD299B"/>
    <w:rsid w:val="00FD5133"/>
    <w:rsid w:val="00FD6989"/>
    <w:rsid w:val="00FD6993"/>
    <w:rsid w:val="00FD6D76"/>
    <w:rsid w:val="00FE0107"/>
    <w:rsid w:val="00FE23BF"/>
    <w:rsid w:val="00FE2FAB"/>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D443"/>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 w:type="character" w:customStyle="1" w:styleId="badge">
    <w:name w:val="badge"/>
    <w:basedOn w:val="Absatz-Standardschriftart"/>
    <w:rsid w:val="00E35EBE"/>
  </w:style>
  <w:style w:type="paragraph" w:customStyle="1" w:styleId="hyphenate">
    <w:name w:val="hyphenate"/>
    <w:basedOn w:val="Standard"/>
    <w:rsid w:val="00033A05"/>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380">
      <w:bodyDiv w:val="1"/>
      <w:marLeft w:val="0"/>
      <w:marRight w:val="0"/>
      <w:marTop w:val="0"/>
      <w:marBottom w:val="0"/>
      <w:divBdr>
        <w:top w:val="none" w:sz="0" w:space="0" w:color="auto"/>
        <w:left w:val="none" w:sz="0" w:space="0" w:color="auto"/>
        <w:bottom w:val="none" w:sz="0" w:space="0" w:color="auto"/>
        <w:right w:val="none" w:sz="0" w:space="0" w:color="auto"/>
      </w:divBdr>
      <w:divsChild>
        <w:div w:id="1295260497">
          <w:marLeft w:val="0"/>
          <w:marRight w:val="0"/>
          <w:marTop w:val="0"/>
          <w:marBottom w:val="0"/>
          <w:divBdr>
            <w:top w:val="none" w:sz="0" w:space="0" w:color="auto"/>
            <w:left w:val="none" w:sz="0" w:space="0" w:color="auto"/>
            <w:bottom w:val="none" w:sz="0" w:space="0" w:color="auto"/>
            <w:right w:val="none" w:sz="0" w:space="0" w:color="auto"/>
          </w:divBdr>
        </w:div>
        <w:div w:id="2113697196">
          <w:marLeft w:val="0"/>
          <w:marRight w:val="0"/>
          <w:marTop w:val="0"/>
          <w:marBottom w:val="0"/>
          <w:divBdr>
            <w:top w:val="none" w:sz="0" w:space="0" w:color="auto"/>
            <w:left w:val="none" w:sz="0" w:space="0" w:color="auto"/>
            <w:bottom w:val="none" w:sz="0" w:space="0" w:color="auto"/>
            <w:right w:val="none" w:sz="0" w:space="0" w:color="auto"/>
          </w:divBdr>
        </w:div>
        <w:div w:id="44529088">
          <w:marLeft w:val="0"/>
          <w:marRight w:val="0"/>
          <w:marTop w:val="0"/>
          <w:marBottom w:val="0"/>
          <w:divBdr>
            <w:top w:val="none" w:sz="0" w:space="0" w:color="auto"/>
            <w:left w:val="none" w:sz="0" w:space="0" w:color="auto"/>
            <w:bottom w:val="none" w:sz="0" w:space="0" w:color="auto"/>
            <w:right w:val="none" w:sz="0" w:space="0" w:color="auto"/>
          </w:divBdr>
        </w:div>
      </w:divsChild>
    </w:div>
    <w:div w:id="32510432">
      <w:bodyDiv w:val="1"/>
      <w:marLeft w:val="0"/>
      <w:marRight w:val="0"/>
      <w:marTop w:val="0"/>
      <w:marBottom w:val="0"/>
      <w:divBdr>
        <w:top w:val="none" w:sz="0" w:space="0" w:color="auto"/>
        <w:left w:val="none" w:sz="0" w:space="0" w:color="auto"/>
        <w:bottom w:val="none" w:sz="0" w:space="0" w:color="auto"/>
        <w:right w:val="none" w:sz="0" w:space="0" w:color="auto"/>
      </w:divBdr>
    </w:div>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10129435">
      <w:bodyDiv w:val="1"/>
      <w:marLeft w:val="0"/>
      <w:marRight w:val="0"/>
      <w:marTop w:val="0"/>
      <w:marBottom w:val="0"/>
      <w:divBdr>
        <w:top w:val="none" w:sz="0" w:space="0" w:color="auto"/>
        <w:left w:val="none" w:sz="0" w:space="0" w:color="auto"/>
        <w:bottom w:val="none" w:sz="0" w:space="0" w:color="auto"/>
        <w:right w:val="none" w:sz="0" w:space="0" w:color="auto"/>
      </w:divBdr>
      <w:divsChild>
        <w:div w:id="571818908">
          <w:marLeft w:val="0"/>
          <w:marRight w:val="0"/>
          <w:marTop w:val="0"/>
          <w:marBottom w:val="0"/>
          <w:divBdr>
            <w:top w:val="none" w:sz="0" w:space="0" w:color="auto"/>
            <w:left w:val="none" w:sz="0" w:space="0" w:color="auto"/>
            <w:bottom w:val="none" w:sz="0" w:space="0" w:color="auto"/>
            <w:right w:val="none" w:sz="0" w:space="0" w:color="auto"/>
          </w:divBdr>
        </w:div>
        <w:div w:id="1174959043">
          <w:marLeft w:val="0"/>
          <w:marRight w:val="0"/>
          <w:marTop w:val="0"/>
          <w:marBottom w:val="0"/>
          <w:divBdr>
            <w:top w:val="none" w:sz="0" w:space="0" w:color="auto"/>
            <w:left w:val="none" w:sz="0" w:space="0" w:color="auto"/>
            <w:bottom w:val="none" w:sz="0" w:space="0" w:color="auto"/>
            <w:right w:val="none" w:sz="0" w:space="0" w:color="auto"/>
          </w:divBdr>
        </w:div>
        <w:div w:id="924725922">
          <w:marLeft w:val="0"/>
          <w:marRight w:val="0"/>
          <w:marTop w:val="0"/>
          <w:marBottom w:val="0"/>
          <w:divBdr>
            <w:top w:val="none" w:sz="0" w:space="0" w:color="auto"/>
            <w:left w:val="none" w:sz="0" w:space="0" w:color="auto"/>
            <w:bottom w:val="none" w:sz="0" w:space="0" w:color="auto"/>
            <w:right w:val="none" w:sz="0" w:space="0" w:color="auto"/>
          </w:divBdr>
        </w:div>
      </w:divsChild>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154958597">
      <w:bodyDiv w:val="1"/>
      <w:marLeft w:val="0"/>
      <w:marRight w:val="0"/>
      <w:marTop w:val="0"/>
      <w:marBottom w:val="0"/>
      <w:divBdr>
        <w:top w:val="none" w:sz="0" w:space="0" w:color="auto"/>
        <w:left w:val="none" w:sz="0" w:space="0" w:color="auto"/>
        <w:bottom w:val="none" w:sz="0" w:space="0" w:color="auto"/>
        <w:right w:val="none" w:sz="0" w:space="0" w:color="auto"/>
      </w:divBdr>
    </w:div>
    <w:div w:id="197551131">
      <w:bodyDiv w:val="1"/>
      <w:marLeft w:val="0"/>
      <w:marRight w:val="0"/>
      <w:marTop w:val="0"/>
      <w:marBottom w:val="0"/>
      <w:divBdr>
        <w:top w:val="none" w:sz="0" w:space="0" w:color="auto"/>
        <w:left w:val="none" w:sz="0" w:space="0" w:color="auto"/>
        <w:bottom w:val="none" w:sz="0" w:space="0" w:color="auto"/>
        <w:right w:val="none" w:sz="0" w:space="0" w:color="auto"/>
      </w:divBdr>
    </w:div>
    <w:div w:id="202904892">
      <w:bodyDiv w:val="1"/>
      <w:marLeft w:val="0"/>
      <w:marRight w:val="0"/>
      <w:marTop w:val="0"/>
      <w:marBottom w:val="0"/>
      <w:divBdr>
        <w:top w:val="none" w:sz="0" w:space="0" w:color="auto"/>
        <w:left w:val="none" w:sz="0" w:space="0" w:color="auto"/>
        <w:bottom w:val="none" w:sz="0" w:space="0" w:color="auto"/>
        <w:right w:val="none" w:sz="0" w:space="0" w:color="auto"/>
      </w:divBdr>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56333152">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11957229">
      <w:bodyDiv w:val="1"/>
      <w:marLeft w:val="0"/>
      <w:marRight w:val="0"/>
      <w:marTop w:val="0"/>
      <w:marBottom w:val="0"/>
      <w:divBdr>
        <w:top w:val="none" w:sz="0" w:space="0" w:color="auto"/>
        <w:left w:val="none" w:sz="0" w:space="0" w:color="auto"/>
        <w:bottom w:val="none" w:sz="0" w:space="0" w:color="auto"/>
        <w:right w:val="none" w:sz="0" w:space="0" w:color="auto"/>
      </w:divBdr>
      <w:divsChild>
        <w:div w:id="749035852">
          <w:marLeft w:val="0"/>
          <w:marRight w:val="0"/>
          <w:marTop w:val="0"/>
          <w:marBottom w:val="0"/>
          <w:divBdr>
            <w:top w:val="none" w:sz="0" w:space="0" w:color="auto"/>
            <w:left w:val="none" w:sz="0" w:space="0" w:color="auto"/>
            <w:bottom w:val="none" w:sz="0" w:space="0" w:color="auto"/>
            <w:right w:val="none" w:sz="0" w:space="0" w:color="auto"/>
          </w:divBdr>
        </w:div>
        <w:div w:id="1372147672">
          <w:marLeft w:val="0"/>
          <w:marRight w:val="0"/>
          <w:marTop w:val="0"/>
          <w:marBottom w:val="0"/>
          <w:divBdr>
            <w:top w:val="none" w:sz="0" w:space="0" w:color="auto"/>
            <w:left w:val="none" w:sz="0" w:space="0" w:color="auto"/>
            <w:bottom w:val="none" w:sz="0" w:space="0" w:color="auto"/>
            <w:right w:val="none" w:sz="0" w:space="0" w:color="auto"/>
          </w:divBdr>
        </w:div>
        <w:div w:id="821507106">
          <w:marLeft w:val="0"/>
          <w:marRight w:val="0"/>
          <w:marTop w:val="0"/>
          <w:marBottom w:val="0"/>
          <w:divBdr>
            <w:top w:val="none" w:sz="0" w:space="0" w:color="auto"/>
            <w:left w:val="none" w:sz="0" w:space="0" w:color="auto"/>
            <w:bottom w:val="none" w:sz="0" w:space="0" w:color="auto"/>
            <w:right w:val="none" w:sz="0" w:space="0" w:color="auto"/>
          </w:divBdr>
        </w:div>
      </w:divsChild>
    </w:div>
    <w:div w:id="327902037">
      <w:bodyDiv w:val="1"/>
      <w:marLeft w:val="0"/>
      <w:marRight w:val="0"/>
      <w:marTop w:val="0"/>
      <w:marBottom w:val="0"/>
      <w:divBdr>
        <w:top w:val="none" w:sz="0" w:space="0" w:color="auto"/>
        <w:left w:val="none" w:sz="0" w:space="0" w:color="auto"/>
        <w:bottom w:val="none" w:sz="0" w:space="0" w:color="auto"/>
        <w:right w:val="none" w:sz="0" w:space="0" w:color="auto"/>
      </w:divBdr>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39814623">
      <w:bodyDiv w:val="1"/>
      <w:marLeft w:val="0"/>
      <w:marRight w:val="0"/>
      <w:marTop w:val="0"/>
      <w:marBottom w:val="0"/>
      <w:divBdr>
        <w:top w:val="none" w:sz="0" w:space="0" w:color="auto"/>
        <w:left w:val="none" w:sz="0" w:space="0" w:color="auto"/>
        <w:bottom w:val="none" w:sz="0" w:space="0" w:color="auto"/>
        <w:right w:val="none" w:sz="0" w:space="0" w:color="auto"/>
      </w:divBdr>
    </w:div>
    <w:div w:id="361831094">
      <w:bodyDiv w:val="1"/>
      <w:marLeft w:val="0"/>
      <w:marRight w:val="0"/>
      <w:marTop w:val="0"/>
      <w:marBottom w:val="0"/>
      <w:divBdr>
        <w:top w:val="none" w:sz="0" w:space="0" w:color="auto"/>
        <w:left w:val="none" w:sz="0" w:space="0" w:color="auto"/>
        <w:bottom w:val="none" w:sz="0" w:space="0" w:color="auto"/>
        <w:right w:val="none" w:sz="0" w:space="0" w:color="auto"/>
      </w:divBdr>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2122544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444495608">
      <w:bodyDiv w:val="1"/>
      <w:marLeft w:val="0"/>
      <w:marRight w:val="0"/>
      <w:marTop w:val="0"/>
      <w:marBottom w:val="0"/>
      <w:divBdr>
        <w:top w:val="none" w:sz="0" w:space="0" w:color="auto"/>
        <w:left w:val="none" w:sz="0" w:space="0" w:color="auto"/>
        <w:bottom w:val="none" w:sz="0" w:space="0" w:color="auto"/>
        <w:right w:val="none" w:sz="0" w:space="0" w:color="auto"/>
      </w:divBdr>
    </w:div>
    <w:div w:id="482310105">
      <w:bodyDiv w:val="1"/>
      <w:marLeft w:val="0"/>
      <w:marRight w:val="0"/>
      <w:marTop w:val="0"/>
      <w:marBottom w:val="0"/>
      <w:divBdr>
        <w:top w:val="none" w:sz="0" w:space="0" w:color="auto"/>
        <w:left w:val="none" w:sz="0" w:space="0" w:color="auto"/>
        <w:bottom w:val="none" w:sz="0" w:space="0" w:color="auto"/>
        <w:right w:val="none" w:sz="0" w:space="0" w:color="auto"/>
      </w:divBdr>
    </w:div>
    <w:div w:id="495342753">
      <w:bodyDiv w:val="1"/>
      <w:marLeft w:val="0"/>
      <w:marRight w:val="0"/>
      <w:marTop w:val="0"/>
      <w:marBottom w:val="0"/>
      <w:divBdr>
        <w:top w:val="none" w:sz="0" w:space="0" w:color="auto"/>
        <w:left w:val="none" w:sz="0" w:space="0" w:color="auto"/>
        <w:bottom w:val="none" w:sz="0" w:space="0" w:color="auto"/>
        <w:right w:val="none" w:sz="0" w:space="0" w:color="auto"/>
      </w:divBdr>
    </w:div>
    <w:div w:id="503206729">
      <w:bodyDiv w:val="1"/>
      <w:marLeft w:val="0"/>
      <w:marRight w:val="0"/>
      <w:marTop w:val="0"/>
      <w:marBottom w:val="0"/>
      <w:divBdr>
        <w:top w:val="none" w:sz="0" w:space="0" w:color="auto"/>
        <w:left w:val="none" w:sz="0" w:space="0" w:color="auto"/>
        <w:bottom w:val="none" w:sz="0" w:space="0" w:color="auto"/>
        <w:right w:val="none" w:sz="0" w:space="0" w:color="auto"/>
      </w:divBdr>
      <w:divsChild>
        <w:div w:id="1308903366">
          <w:marLeft w:val="0"/>
          <w:marRight w:val="0"/>
          <w:marTop w:val="0"/>
          <w:marBottom w:val="0"/>
          <w:divBdr>
            <w:top w:val="none" w:sz="0" w:space="0" w:color="auto"/>
            <w:left w:val="none" w:sz="0" w:space="0" w:color="auto"/>
            <w:bottom w:val="none" w:sz="0" w:space="0" w:color="auto"/>
            <w:right w:val="none" w:sz="0" w:space="0" w:color="auto"/>
          </w:divBdr>
        </w:div>
        <w:div w:id="191111630">
          <w:marLeft w:val="0"/>
          <w:marRight w:val="0"/>
          <w:marTop w:val="0"/>
          <w:marBottom w:val="0"/>
          <w:divBdr>
            <w:top w:val="none" w:sz="0" w:space="0" w:color="auto"/>
            <w:left w:val="none" w:sz="0" w:space="0" w:color="auto"/>
            <w:bottom w:val="none" w:sz="0" w:space="0" w:color="auto"/>
            <w:right w:val="none" w:sz="0" w:space="0" w:color="auto"/>
          </w:divBdr>
        </w:div>
        <w:div w:id="1739012181">
          <w:marLeft w:val="0"/>
          <w:marRight w:val="0"/>
          <w:marTop w:val="0"/>
          <w:marBottom w:val="0"/>
          <w:divBdr>
            <w:top w:val="none" w:sz="0" w:space="0" w:color="auto"/>
            <w:left w:val="none" w:sz="0" w:space="0" w:color="auto"/>
            <w:bottom w:val="none" w:sz="0" w:space="0" w:color="auto"/>
            <w:right w:val="none" w:sz="0" w:space="0" w:color="auto"/>
          </w:divBdr>
        </w:div>
      </w:divsChild>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521405968">
      <w:bodyDiv w:val="1"/>
      <w:marLeft w:val="0"/>
      <w:marRight w:val="0"/>
      <w:marTop w:val="0"/>
      <w:marBottom w:val="0"/>
      <w:divBdr>
        <w:top w:val="none" w:sz="0" w:space="0" w:color="auto"/>
        <w:left w:val="none" w:sz="0" w:space="0" w:color="auto"/>
        <w:bottom w:val="none" w:sz="0" w:space="0" w:color="auto"/>
        <w:right w:val="none" w:sz="0" w:space="0" w:color="auto"/>
      </w:divBdr>
    </w:div>
    <w:div w:id="534929146">
      <w:bodyDiv w:val="1"/>
      <w:marLeft w:val="0"/>
      <w:marRight w:val="0"/>
      <w:marTop w:val="0"/>
      <w:marBottom w:val="0"/>
      <w:divBdr>
        <w:top w:val="none" w:sz="0" w:space="0" w:color="auto"/>
        <w:left w:val="none" w:sz="0" w:space="0" w:color="auto"/>
        <w:bottom w:val="none" w:sz="0" w:space="0" w:color="auto"/>
        <w:right w:val="none" w:sz="0" w:space="0" w:color="auto"/>
      </w:divBdr>
      <w:divsChild>
        <w:div w:id="1136144427">
          <w:marLeft w:val="0"/>
          <w:marRight w:val="0"/>
          <w:marTop w:val="0"/>
          <w:marBottom w:val="0"/>
          <w:divBdr>
            <w:top w:val="none" w:sz="0" w:space="0" w:color="auto"/>
            <w:left w:val="none" w:sz="0" w:space="0" w:color="auto"/>
            <w:bottom w:val="none" w:sz="0" w:space="0" w:color="auto"/>
            <w:right w:val="none" w:sz="0" w:space="0" w:color="auto"/>
          </w:divBdr>
        </w:div>
        <w:div w:id="2129396796">
          <w:marLeft w:val="0"/>
          <w:marRight w:val="0"/>
          <w:marTop w:val="0"/>
          <w:marBottom w:val="0"/>
          <w:divBdr>
            <w:top w:val="none" w:sz="0" w:space="0" w:color="auto"/>
            <w:left w:val="none" w:sz="0" w:space="0" w:color="auto"/>
            <w:bottom w:val="none" w:sz="0" w:space="0" w:color="auto"/>
            <w:right w:val="none" w:sz="0" w:space="0" w:color="auto"/>
          </w:divBdr>
        </w:div>
        <w:div w:id="1922173576">
          <w:marLeft w:val="0"/>
          <w:marRight w:val="0"/>
          <w:marTop w:val="0"/>
          <w:marBottom w:val="0"/>
          <w:divBdr>
            <w:top w:val="none" w:sz="0" w:space="0" w:color="auto"/>
            <w:left w:val="none" w:sz="0" w:space="0" w:color="auto"/>
            <w:bottom w:val="none" w:sz="0" w:space="0" w:color="auto"/>
            <w:right w:val="none" w:sz="0" w:space="0" w:color="auto"/>
          </w:divBdr>
        </w:div>
        <w:div w:id="24404769">
          <w:marLeft w:val="0"/>
          <w:marRight w:val="0"/>
          <w:marTop w:val="0"/>
          <w:marBottom w:val="0"/>
          <w:divBdr>
            <w:top w:val="none" w:sz="0" w:space="0" w:color="auto"/>
            <w:left w:val="none" w:sz="0" w:space="0" w:color="auto"/>
            <w:bottom w:val="none" w:sz="0" w:space="0" w:color="auto"/>
            <w:right w:val="none" w:sz="0" w:space="0" w:color="auto"/>
          </w:divBdr>
        </w:div>
      </w:divsChild>
    </w:div>
    <w:div w:id="545602647">
      <w:bodyDiv w:val="1"/>
      <w:marLeft w:val="0"/>
      <w:marRight w:val="0"/>
      <w:marTop w:val="0"/>
      <w:marBottom w:val="0"/>
      <w:divBdr>
        <w:top w:val="none" w:sz="0" w:space="0" w:color="auto"/>
        <w:left w:val="none" w:sz="0" w:space="0" w:color="auto"/>
        <w:bottom w:val="none" w:sz="0" w:space="0" w:color="auto"/>
        <w:right w:val="none" w:sz="0" w:space="0" w:color="auto"/>
      </w:divBdr>
    </w:div>
    <w:div w:id="557784056">
      <w:bodyDiv w:val="1"/>
      <w:marLeft w:val="0"/>
      <w:marRight w:val="0"/>
      <w:marTop w:val="0"/>
      <w:marBottom w:val="0"/>
      <w:divBdr>
        <w:top w:val="none" w:sz="0" w:space="0" w:color="auto"/>
        <w:left w:val="none" w:sz="0" w:space="0" w:color="auto"/>
        <w:bottom w:val="none" w:sz="0" w:space="0" w:color="auto"/>
        <w:right w:val="none" w:sz="0" w:space="0" w:color="auto"/>
      </w:divBdr>
      <w:divsChild>
        <w:div w:id="783967479">
          <w:marLeft w:val="0"/>
          <w:marRight w:val="0"/>
          <w:marTop w:val="0"/>
          <w:marBottom w:val="0"/>
          <w:divBdr>
            <w:top w:val="none" w:sz="0" w:space="0" w:color="auto"/>
            <w:left w:val="none" w:sz="0" w:space="0" w:color="auto"/>
            <w:bottom w:val="none" w:sz="0" w:space="0" w:color="auto"/>
            <w:right w:val="none" w:sz="0" w:space="0" w:color="auto"/>
          </w:divBdr>
        </w:div>
        <w:div w:id="177934939">
          <w:marLeft w:val="0"/>
          <w:marRight w:val="0"/>
          <w:marTop w:val="0"/>
          <w:marBottom w:val="0"/>
          <w:divBdr>
            <w:top w:val="none" w:sz="0" w:space="0" w:color="auto"/>
            <w:left w:val="none" w:sz="0" w:space="0" w:color="auto"/>
            <w:bottom w:val="none" w:sz="0" w:space="0" w:color="auto"/>
            <w:right w:val="none" w:sz="0" w:space="0" w:color="auto"/>
          </w:divBdr>
        </w:div>
        <w:div w:id="1002469545">
          <w:marLeft w:val="0"/>
          <w:marRight w:val="0"/>
          <w:marTop w:val="0"/>
          <w:marBottom w:val="0"/>
          <w:divBdr>
            <w:top w:val="none" w:sz="0" w:space="0" w:color="auto"/>
            <w:left w:val="none" w:sz="0" w:space="0" w:color="auto"/>
            <w:bottom w:val="none" w:sz="0" w:space="0" w:color="auto"/>
            <w:right w:val="none" w:sz="0" w:space="0" w:color="auto"/>
          </w:divBdr>
        </w:div>
      </w:divsChild>
    </w:div>
    <w:div w:id="563687130">
      <w:bodyDiv w:val="1"/>
      <w:marLeft w:val="0"/>
      <w:marRight w:val="0"/>
      <w:marTop w:val="0"/>
      <w:marBottom w:val="0"/>
      <w:divBdr>
        <w:top w:val="none" w:sz="0" w:space="0" w:color="auto"/>
        <w:left w:val="none" w:sz="0" w:space="0" w:color="auto"/>
        <w:bottom w:val="none" w:sz="0" w:space="0" w:color="auto"/>
        <w:right w:val="none" w:sz="0" w:space="0" w:color="auto"/>
      </w:divBdr>
    </w:div>
    <w:div w:id="571351171">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6311">
      <w:bodyDiv w:val="1"/>
      <w:marLeft w:val="0"/>
      <w:marRight w:val="0"/>
      <w:marTop w:val="0"/>
      <w:marBottom w:val="0"/>
      <w:divBdr>
        <w:top w:val="none" w:sz="0" w:space="0" w:color="auto"/>
        <w:left w:val="none" w:sz="0" w:space="0" w:color="auto"/>
        <w:bottom w:val="none" w:sz="0" w:space="0" w:color="auto"/>
        <w:right w:val="none" w:sz="0" w:space="0" w:color="auto"/>
      </w:divBdr>
      <w:divsChild>
        <w:div w:id="1334258386">
          <w:marLeft w:val="0"/>
          <w:marRight w:val="0"/>
          <w:marTop w:val="0"/>
          <w:marBottom w:val="0"/>
          <w:divBdr>
            <w:top w:val="none" w:sz="0" w:space="0" w:color="auto"/>
            <w:left w:val="none" w:sz="0" w:space="0" w:color="auto"/>
            <w:bottom w:val="none" w:sz="0" w:space="0" w:color="auto"/>
            <w:right w:val="none" w:sz="0" w:space="0" w:color="auto"/>
          </w:divBdr>
        </w:div>
        <w:div w:id="2079984026">
          <w:marLeft w:val="0"/>
          <w:marRight w:val="0"/>
          <w:marTop w:val="0"/>
          <w:marBottom w:val="0"/>
          <w:divBdr>
            <w:top w:val="none" w:sz="0" w:space="0" w:color="auto"/>
            <w:left w:val="none" w:sz="0" w:space="0" w:color="auto"/>
            <w:bottom w:val="none" w:sz="0" w:space="0" w:color="auto"/>
            <w:right w:val="none" w:sz="0" w:space="0" w:color="auto"/>
          </w:divBdr>
          <w:divsChild>
            <w:div w:id="1455323798">
              <w:marLeft w:val="0"/>
              <w:marRight w:val="0"/>
              <w:marTop w:val="0"/>
              <w:marBottom w:val="0"/>
              <w:divBdr>
                <w:top w:val="none" w:sz="0" w:space="0" w:color="auto"/>
                <w:left w:val="none" w:sz="0" w:space="0" w:color="auto"/>
                <w:bottom w:val="none" w:sz="0" w:space="0" w:color="auto"/>
                <w:right w:val="none" w:sz="0" w:space="0" w:color="auto"/>
              </w:divBdr>
            </w:div>
          </w:divsChild>
        </w:div>
        <w:div w:id="1807509174">
          <w:marLeft w:val="0"/>
          <w:marRight w:val="0"/>
          <w:marTop w:val="0"/>
          <w:marBottom w:val="0"/>
          <w:divBdr>
            <w:top w:val="none" w:sz="0" w:space="0" w:color="auto"/>
            <w:left w:val="none" w:sz="0" w:space="0" w:color="auto"/>
            <w:bottom w:val="none" w:sz="0" w:space="0" w:color="auto"/>
            <w:right w:val="none" w:sz="0" w:space="0" w:color="auto"/>
          </w:divBdr>
        </w:div>
        <w:div w:id="166287003">
          <w:marLeft w:val="0"/>
          <w:marRight w:val="0"/>
          <w:marTop w:val="0"/>
          <w:marBottom w:val="0"/>
          <w:divBdr>
            <w:top w:val="none" w:sz="0" w:space="0" w:color="auto"/>
            <w:left w:val="none" w:sz="0" w:space="0" w:color="auto"/>
            <w:bottom w:val="none" w:sz="0" w:space="0" w:color="auto"/>
            <w:right w:val="none" w:sz="0" w:space="0" w:color="auto"/>
          </w:divBdr>
        </w:div>
        <w:div w:id="268857600">
          <w:marLeft w:val="0"/>
          <w:marRight w:val="0"/>
          <w:marTop w:val="0"/>
          <w:marBottom w:val="0"/>
          <w:divBdr>
            <w:top w:val="none" w:sz="0" w:space="0" w:color="auto"/>
            <w:left w:val="none" w:sz="0" w:space="0" w:color="auto"/>
            <w:bottom w:val="none" w:sz="0" w:space="0" w:color="auto"/>
            <w:right w:val="none" w:sz="0" w:space="0" w:color="auto"/>
          </w:divBdr>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51375183">
      <w:bodyDiv w:val="1"/>
      <w:marLeft w:val="0"/>
      <w:marRight w:val="0"/>
      <w:marTop w:val="0"/>
      <w:marBottom w:val="0"/>
      <w:divBdr>
        <w:top w:val="none" w:sz="0" w:space="0" w:color="auto"/>
        <w:left w:val="none" w:sz="0" w:space="0" w:color="auto"/>
        <w:bottom w:val="none" w:sz="0" w:space="0" w:color="auto"/>
        <w:right w:val="none" w:sz="0" w:space="0" w:color="auto"/>
      </w:divBdr>
    </w:div>
    <w:div w:id="669676286">
      <w:bodyDiv w:val="1"/>
      <w:marLeft w:val="0"/>
      <w:marRight w:val="0"/>
      <w:marTop w:val="0"/>
      <w:marBottom w:val="0"/>
      <w:divBdr>
        <w:top w:val="none" w:sz="0" w:space="0" w:color="auto"/>
        <w:left w:val="none" w:sz="0" w:space="0" w:color="auto"/>
        <w:bottom w:val="none" w:sz="0" w:space="0" w:color="auto"/>
        <w:right w:val="none" w:sz="0" w:space="0" w:color="auto"/>
      </w:divBdr>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156">
      <w:bodyDiv w:val="1"/>
      <w:marLeft w:val="0"/>
      <w:marRight w:val="0"/>
      <w:marTop w:val="0"/>
      <w:marBottom w:val="0"/>
      <w:divBdr>
        <w:top w:val="none" w:sz="0" w:space="0" w:color="auto"/>
        <w:left w:val="none" w:sz="0" w:space="0" w:color="auto"/>
        <w:bottom w:val="none" w:sz="0" w:space="0" w:color="auto"/>
        <w:right w:val="none" w:sz="0" w:space="0" w:color="auto"/>
      </w:divBdr>
    </w:div>
    <w:div w:id="738216305">
      <w:bodyDiv w:val="1"/>
      <w:marLeft w:val="0"/>
      <w:marRight w:val="0"/>
      <w:marTop w:val="0"/>
      <w:marBottom w:val="0"/>
      <w:divBdr>
        <w:top w:val="none" w:sz="0" w:space="0" w:color="auto"/>
        <w:left w:val="none" w:sz="0" w:space="0" w:color="auto"/>
        <w:bottom w:val="none" w:sz="0" w:space="0" w:color="auto"/>
        <w:right w:val="none" w:sz="0" w:space="0" w:color="auto"/>
      </w:divBdr>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49932773">
      <w:bodyDiv w:val="1"/>
      <w:marLeft w:val="0"/>
      <w:marRight w:val="0"/>
      <w:marTop w:val="0"/>
      <w:marBottom w:val="0"/>
      <w:divBdr>
        <w:top w:val="none" w:sz="0" w:space="0" w:color="auto"/>
        <w:left w:val="none" w:sz="0" w:space="0" w:color="auto"/>
        <w:bottom w:val="none" w:sz="0" w:space="0" w:color="auto"/>
        <w:right w:val="none" w:sz="0" w:space="0" w:color="auto"/>
      </w:divBdr>
    </w:div>
    <w:div w:id="783227864">
      <w:bodyDiv w:val="1"/>
      <w:marLeft w:val="0"/>
      <w:marRight w:val="0"/>
      <w:marTop w:val="0"/>
      <w:marBottom w:val="0"/>
      <w:divBdr>
        <w:top w:val="none" w:sz="0" w:space="0" w:color="auto"/>
        <w:left w:val="none" w:sz="0" w:space="0" w:color="auto"/>
        <w:bottom w:val="none" w:sz="0" w:space="0" w:color="auto"/>
        <w:right w:val="none" w:sz="0" w:space="0" w:color="auto"/>
      </w:divBdr>
    </w:div>
    <w:div w:id="789475903">
      <w:bodyDiv w:val="1"/>
      <w:marLeft w:val="0"/>
      <w:marRight w:val="0"/>
      <w:marTop w:val="0"/>
      <w:marBottom w:val="0"/>
      <w:divBdr>
        <w:top w:val="none" w:sz="0" w:space="0" w:color="auto"/>
        <w:left w:val="none" w:sz="0" w:space="0" w:color="auto"/>
        <w:bottom w:val="none" w:sz="0" w:space="0" w:color="auto"/>
        <w:right w:val="none" w:sz="0" w:space="0" w:color="auto"/>
      </w:divBdr>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16924108">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4054224">
      <w:bodyDiv w:val="1"/>
      <w:marLeft w:val="0"/>
      <w:marRight w:val="0"/>
      <w:marTop w:val="0"/>
      <w:marBottom w:val="0"/>
      <w:divBdr>
        <w:top w:val="none" w:sz="0" w:space="0" w:color="auto"/>
        <w:left w:val="none" w:sz="0" w:space="0" w:color="auto"/>
        <w:bottom w:val="none" w:sz="0" w:space="0" w:color="auto"/>
        <w:right w:val="none" w:sz="0" w:space="0" w:color="auto"/>
      </w:divBdr>
      <w:divsChild>
        <w:div w:id="786236924">
          <w:marLeft w:val="0"/>
          <w:marRight w:val="0"/>
          <w:marTop w:val="0"/>
          <w:marBottom w:val="0"/>
          <w:divBdr>
            <w:top w:val="none" w:sz="0" w:space="0" w:color="auto"/>
            <w:left w:val="none" w:sz="0" w:space="0" w:color="auto"/>
            <w:bottom w:val="none" w:sz="0" w:space="0" w:color="auto"/>
            <w:right w:val="none" w:sz="0" w:space="0" w:color="auto"/>
          </w:divBdr>
        </w:div>
        <w:div w:id="793325953">
          <w:marLeft w:val="0"/>
          <w:marRight w:val="0"/>
          <w:marTop w:val="0"/>
          <w:marBottom w:val="0"/>
          <w:divBdr>
            <w:top w:val="none" w:sz="0" w:space="0" w:color="auto"/>
            <w:left w:val="none" w:sz="0" w:space="0" w:color="auto"/>
            <w:bottom w:val="none" w:sz="0" w:space="0" w:color="auto"/>
            <w:right w:val="none" w:sz="0" w:space="0" w:color="auto"/>
          </w:divBdr>
        </w:div>
        <w:div w:id="959578313">
          <w:marLeft w:val="0"/>
          <w:marRight w:val="0"/>
          <w:marTop w:val="0"/>
          <w:marBottom w:val="0"/>
          <w:divBdr>
            <w:top w:val="none" w:sz="0" w:space="0" w:color="auto"/>
            <w:left w:val="none" w:sz="0" w:space="0" w:color="auto"/>
            <w:bottom w:val="none" w:sz="0" w:space="0" w:color="auto"/>
            <w:right w:val="none" w:sz="0" w:space="0" w:color="auto"/>
          </w:divBdr>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38028252">
      <w:bodyDiv w:val="1"/>
      <w:marLeft w:val="0"/>
      <w:marRight w:val="0"/>
      <w:marTop w:val="0"/>
      <w:marBottom w:val="0"/>
      <w:divBdr>
        <w:top w:val="none" w:sz="0" w:space="0" w:color="auto"/>
        <w:left w:val="none" w:sz="0" w:space="0" w:color="auto"/>
        <w:bottom w:val="none" w:sz="0" w:space="0" w:color="auto"/>
        <w:right w:val="none" w:sz="0" w:space="0" w:color="auto"/>
      </w:divBdr>
    </w:div>
    <w:div w:id="962229634">
      <w:bodyDiv w:val="1"/>
      <w:marLeft w:val="0"/>
      <w:marRight w:val="0"/>
      <w:marTop w:val="0"/>
      <w:marBottom w:val="0"/>
      <w:divBdr>
        <w:top w:val="none" w:sz="0" w:space="0" w:color="auto"/>
        <w:left w:val="none" w:sz="0" w:space="0" w:color="auto"/>
        <w:bottom w:val="none" w:sz="0" w:space="0" w:color="auto"/>
        <w:right w:val="none" w:sz="0" w:space="0" w:color="auto"/>
      </w:divBdr>
    </w:div>
    <w:div w:id="968826893">
      <w:bodyDiv w:val="1"/>
      <w:marLeft w:val="0"/>
      <w:marRight w:val="0"/>
      <w:marTop w:val="0"/>
      <w:marBottom w:val="0"/>
      <w:divBdr>
        <w:top w:val="none" w:sz="0" w:space="0" w:color="auto"/>
        <w:left w:val="none" w:sz="0" w:space="0" w:color="auto"/>
        <w:bottom w:val="none" w:sz="0" w:space="0" w:color="auto"/>
        <w:right w:val="none" w:sz="0" w:space="0" w:color="auto"/>
      </w:divBdr>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48453736">
      <w:bodyDiv w:val="1"/>
      <w:marLeft w:val="0"/>
      <w:marRight w:val="0"/>
      <w:marTop w:val="0"/>
      <w:marBottom w:val="0"/>
      <w:divBdr>
        <w:top w:val="none" w:sz="0" w:space="0" w:color="auto"/>
        <w:left w:val="none" w:sz="0" w:space="0" w:color="auto"/>
        <w:bottom w:val="none" w:sz="0" w:space="0" w:color="auto"/>
        <w:right w:val="none" w:sz="0" w:space="0" w:color="auto"/>
      </w:divBdr>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145273916">
      <w:bodyDiv w:val="1"/>
      <w:marLeft w:val="0"/>
      <w:marRight w:val="0"/>
      <w:marTop w:val="0"/>
      <w:marBottom w:val="0"/>
      <w:divBdr>
        <w:top w:val="none" w:sz="0" w:space="0" w:color="auto"/>
        <w:left w:val="none" w:sz="0" w:space="0" w:color="auto"/>
        <w:bottom w:val="none" w:sz="0" w:space="0" w:color="auto"/>
        <w:right w:val="none" w:sz="0" w:space="0" w:color="auto"/>
      </w:divBdr>
      <w:divsChild>
        <w:div w:id="1832911695">
          <w:marLeft w:val="0"/>
          <w:marRight w:val="0"/>
          <w:marTop w:val="0"/>
          <w:marBottom w:val="0"/>
          <w:divBdr>
            <w:top w:val="none" w:sz="0" w:space="0" w:color="auto"/>
            <w:left w:val="none" w:sz="0" w:space="0" w:color="auto"/>
            <w:bottom w:val="none" w:sz="0" w:space="0" w:color="auto"/>
            <w:right w:val="none" w:sz="0" w:space="0" w:color="auto"/>
          </w:divBdr>
        </w:div>
        <w:div w:id="1754278848">
          <w:marLeft w:val="0"/>
          <w:marRight w:val="0"/>
          <w:marTop w:val="0"/>
          <w:marBottom w:val="0"/>
          <w:divBdr>
            <w:top w:val="none" w:sz="0" w:space="0" w:color="auto"/>
            <w:left w:val="none" w:sz="0" w:space="0" w:color="auto"/>
            <w:bottom w:val="none" w:sz="0" w:space="0" w:color="auto"/>
            <w:right w:val="none" w:sz="0" w:space="0" w:color="auto"/>
          </w:divBdr>
        </w:div>
        <w:div w:id="2116633213">
          <w:marLeft w:val="0"/>
          <w:marRight w:val="0"/>
          <w:marTop w:val="0"/>
          <w:marBottom w:val="0"/>
          <w:divBdr>
            <w:top w:val="none" w:sz="0" w:space="0" w:color="auto"/>
            <w:left w:val="none" w:sz="0" w:space="0" w:color="auto"/>
            <w:bottom w:val="none" w:sz="0" w:space="0" w:color="auto"/>
            <w:right w:val="none" w:sz="0" w:space="0" w:color="auto"/>
          </w:divBdr>
        </w:div>
      </w:divsChild>
    </w:div>
    <w:div w:id="1166477712">
      <w:bodyDiv w:val="1"/>
      <w:marLeft w:val="0"/>
      <w:marRight w:val="0"/>
      <w:marTop w:val="0"/>
      <w:marBottom w:val="0"/>
      <w:divBdr>
        <w:top w:val="none" w:sz="0" w:space="0" w:color="auto"/>
        <w:left w:val="none" w:sz="0" w:space="0" w:color="auto"/>
        <w:bottom w:val="none" w:sz="0" w:space="0" w:color="auto"/>
        <w:right w:val="none" w:sz="0" w:space="0" w:color="auto"/>
      </w:divBdr>
    </w:div>
    <w:div w:id="1170094673">
      <w:bodyDiv w:val="1"/>
      <w:marLeft w:val="0"/>
      <w:marRight w:val="0"/>
      <w:marTop w:val="0"/>
      <w:marBottom w:val="0"/>
      <w:divBdr>
        <w:top w:val="none" w:sz="0" w:space="0" w:color="auto"/>
        <w:left w:val="none" w:sz="0" w:space="0" w:color="auto"/>
        <w:bottom w:val="none" w:sz="0" w:space="0" w:color="auto"/>
        <w:right w:val="none" w:sz="0" w:space="0" w:color="auto"/>
      </w:divBdr>
      <w:divsChild>
        <w:div w:id="1277062221">
          <w:marLeft w:val="0"/>
          <w:marRight w:val="0"/>
          <w:marTop w:val="0"/>
          <w:marBottom w:val="0"/>
          <w:divBdr>
            <w:top w:val="none" w:sz="0" w:space="0" w:color="auto"/>
            <w:left w:val="none" w:sz="0" w:space="0" w:color="auto"/>
            <w:bottom w:val="none" w:sz="0" w:space="0" w:color="auto"/>
            <w:right w:val="none" w:sz="0" w:space="0" w:color="auto"/>
          </w:divBdr>
        </w:div>
        <w:div w:id="1539466945">
          <w:marLeft w:val="0"/>
          <w:marRight w:val="0"/>
          <w:marTop w:val="0"/>
          <w:marBottom w:val="0"/>
          <w:divBdr>
            <w:top w:val="none" w:sz="0" w:space="0" w:color="auto"/>
            <w:left w:val="none" w:sz="0" w:space="0" w:color="auto"/>
            <w:bottom w:val="none" w:sz="0" w:space="0" w:color="auto"/>
            <w:right w:val="none" w:sz="0" w:space="0" w:color="auto"/>
          </w:divBdr>
        </w:div>
        <w:div w:id="824664218">
          <w:marLeft w:val="0"/>
          <w:marRight w:val="0"/>
          <w:marTop w:val="0"/>
          <w:marBottom w:val="0"/>
          <w:divBdr>
            <w:top w:val="none" w:sz="0" w:space="0" w:color="auto"/>
            <w:left w:val="none" w:sz="0" w:space="0" w:color="auto"/>
            <w:bottom w:val="none" w:sz="0" w:space="0" w:color="auto"/>
            <w:right w:val="none" w:sz="0" w:space="0" w:color="auto"/>
          </w:divBdr>
        </w:div>
        <w:div w:id="589118490">
          <w:marLeft w:val="0"/>
          <w:marRight w:val="0"/>
          <w:marTop w:val="0"/>
          <w:marBottom w:val="0"/>
          <w:divBdr>
            <w:top w:val="none" w:sz="0" w:space="0" w:color="auto"/>
            <w:left w:val="none" w:sz="0" w:space="0" w:color="auto"/>
            <w:bottom w:val="none" w:sz="0" w:space="0" w:color="auto"/>
            <w:right w:val="none" w:sz="0" w:space="0" w:color="auto"/>
          </w:divBdr>
        </w:div>
      </w:divsChild>
    </w:div>
    <w:div w:id="1176454824">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35314962">
      <w:bodyDiv w:val="1"/>
      <w:marLeft w:val="0"/>
      <w:marRight w:val="0"/>
      <w:marTop w:val="0"/>
      <w:marBottom w:val="0"/>
      <w:divBdr>
        <w:top w:val="none" w:sz="0" w:space="0" w:color="auto"/>
        <w:left w:val="none" w:sz="0" w:space="0" w:color="auto"/>
        <w:bottom w:val="none" w:sz="0" w:space="0" w:color="auto"/>
        <w:right w:val="none" w:sz="0" w:space="0" w:color="auto"/>
      </w:divBdr>
    </w:div>
    <w:div w:id="1248922474">
      <w:bodyDiv w:val="1"/>
      <w:marLeft w:val="0"/>
      <w:marRight w:val="0"/>
      <w:marTop w:val="0"/>
      <w:marBottom w:val="0"/>
      <w:divBdr>
        <w:top w:val="none" w:sz="0" w:space="0" w:color="auto"/>
        <w:left w:val="none" w:sz="0" w:space="0" w:color="auto"/>
        <w:bottom w:val="none" w:sz="0" w:space="0" w:color="auto"/>
        <w:right w:val="none" w:sz="0" w:space="0" w:color="auto"/>
      </w:divBdr>
      <w:divsChild>
        <w:div w:id="882716999">
          <w:marLeft w:val="0"/>
          <w:marRight w:val="0"/>
          <w:marTop w:val="0"/>
          <w:marBottom w:val="0"/>
          <w:divBdr>
            <w:top w:val="none" w:sz="0" w:space="0" w:color="auto"/>
            <w:left w:val="none" w:sz="0" w:space="0" w:color="auto"/>
            <w:bottom w:val="none" w:sz="0" w:space="0" w:color="auto"/>
            <w:right w:val="none" w:sz="0" w:space="0" w:color="auto"/>
          </w:divBdr>
        </w:div>
        <w:div w:id="264700203">
          <w:marLeft w:val="0"/>
          <w:marRight w:val="0"/>
          <w:marTop w:val="0"/>
          <w:marBottom w:val="0"/>
          <w:divBdr>
            <w:top w:val="none" w:sz="0" w:space="0" w:color="auto"/>
            <w:left w:val="none" w:sz="0" w:space="0" w:color="auto"/>
            <w:bottom w:val="none" w:sz="0" w:space="0" w:color="auto"/>
            <w:right w:val="none" w:sz="0" w:space="0" w:color="auto"/>
          </w:divBdr>
        </w:div>
        <w:div w:id="1408460759">
          <w:marLeft w:val="0"/>
          <w:marRight w:val="0"/>
          <w:marTop w:val="0"/>
          <w:marBottom w:val="0"/>
          <w:divBdr>
            <w:top w:val="none" w:sz="0" w:space="0" w:color="auto"/>
            <w:left w:val="none" w:sz="0" w:space="0" w:color="auto"/>
            <w:bottom w:val="none" w:sz="0" w:space="0" w:color="auto"/>
            <w:right w:val="none" w:sz="0" w:space="0" w:color="auto"/>
          </w:divBdr>
        </w:div>
      </w:divsChild>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266184943">
      <w:bodyDiv w:val="1"/>
      <w:marLeft w:val="0"/>
      <w:marRight w:val="0"/>
      <w:marTop w:val="0"/>
      <w:marBottom w:val="0"/>
      <w:divBdr>
        <w:top w:val="none" w:sz="0" w:space="0" w:color="auto"/>
        <w:left w:val="none" w:sz="0" w:space="0" w:color="auto"/>
        <w:bottom w:val="none" w:sz="0" w:space="0" w:color="auto"/>
        <w:right w:val="none" w:sz="0" w:space="0" w:color="auto"/>
      </w:divBdr>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24121675">
      <w:bodyDiv w:val="1"/>
      <w:marLeft w:val="0"/>
      <w:marRight w:val="0"/>
      <w:marTop w:val="0"/>
      <w:marBottom w:val="0"/>
      <w:divBdr>
        <w:top w:val="none" w:sz="0" w:space="0" w:color="auto"/>
        <w:left w:val="none" w:sz="0" w:space="0" w:color="auto"/>
        <w:bottom w:val="none" w:sz="0" w:space="0" w:color="auto"/>
        <w:right w:val="none" w:sz="0" w:space="0" w:color="auto"/>
      </w:divBdr>
    </w:div>
    <w:div w:id="1329208020">
      <w:bodyDiv w:val="1"/>
      <w:marLeft w:val="0"/>
      <w:marRight w:val="0"/>
      <w:marTop w:val="0"/>
      <w:marBottom w:val="0"/>
      <w:divBdr>
        <w:top w:val="none" w:sz="0" w:space="0" w:color="auto"/>
        <w:left w:val="none" w:sz="0" w:space="0" w:color="auto"/>
        <w:bottom w:val="none" w:sz="0" w:space="0" w:color="auto"/>
        <w:right w:val="none" w:sz="0" w:space="0" w:color="auto"/>
      </w:divBdr>
      <w:divsChild>
        <w:div w:id="1742094732">
          <w:marLeft w:val="0"/>
          <w:marRight w:val="0"/>
          <w:marTop w:val="0"/>
          <w:marBottom w:val="0"/>
          <w:divBdr>
            <w:top w:val="none" w:sz="0" w:space="0" w:color="auto"/>
            <w:left w:val="none" w:sz="0" w:space="0" w:color="auto"/>
            <w:bottom w:val="none" w:sz="0" w:space="0" w:color="auto"/>
            <w:right w:val="none" w:sz="0" w:space="0" w:color="auto"/>
          </w:divBdr>
        </w:div>
        <w:div w:id="669215223">
          <w:marLeft w:val="0"/>
          <w:marRight w:val="0"/>
          <w:marTop w:val="0"/>
          <w:marBottom w:val="0"/>
          <w:divBdr>
            <w:top w:val="none" w:sz="0" w:space="0" w:color="auto"/>
            <w:left w:val="none" w:sz="0" w:space="0" w:color="auto"/>
            <w:bottom w:val="none" w:sz="0" w:space="0" w:color="auto"/>
            <w:right w:val="none" w:sz="0" w:space="0" w:color="auto"/>
          </w:divBdr>
        </w:div>
        <w:div w:id="1109280448">
          <w:marLeft w:val="0"/>
          <w:marRight w:val="0"/>
          <w:marTop w:val="0"/>
          <w:marBottom w:val="0"/>
          <w:divBdr>
            <w:top w:val="none" w:sz="0" w:space="0" w:color="auto"/>
            <w:left w:val="none" w:sz="0" w:space="0" w:color="auto"/>
            <w:bottom w:val="none" w:sz="0" w:space="0" w:color="auto"/>
            <w:right w:val="none" w:sz="0" w:space="0" w:color="auto"/>
          </w:divBdr>
        </w:div>
        <w:div w:id="1548100519">
          <w:marLeft w:val="0"/>
          <w:marRight w:val="0"/>
          <w:marTop w:val="0"/>
          <w:marBottom w:val="0"/>
          <w:divBdr>
            <w:top w:val="none" w:sz="0" w:space="0" w:color="auto"/>
            <w:left w:val="none" w:sz="0" w:space="0" w:color="auto"/>
            <w:bottom w:val="none" w:sz="0" w:space="0" w:color="auto"/>
            <w:right w:val="none" w:sz="0" w:space="0" w:color="auto"/>
          </w:divBdr>
        </w:div>
      </w:divsChild>
    </w:div>
    <w:div w:id="1337417535">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5768">
      <w:bodyDiv w:val="1"/>
      <w:marLeft w:val="0"/>
      <w:marRight w:val="0"/>
      <w:marTop w:val="0"/>
      <w:marBottom w:val="0"/>
      <w:divBdr>
        <w:top w:val="none" w:sz="0" w:space="0" w:color="auto"/>
        <w:left w:val="none" w:sz="0" w:space="0" w:color="auto"/>
        <w:bottom w:val="none" w:sz="0" w:space="0" w:color="auto"/>
        <w:right w:val="none" w:sz="0" w:space="0" w:color="auto"/>
      </w:divBdr>
      <w:divsChild>
        <w:div w:id="1550071073">
          <w:marLeft w:val="0"/>
          <w:marRight w:val="0"/>
          <w:marTop w:val="0"/>
          <w:marBottom w:val="0"/>
          <w:divBdr>
            <w:top w:val="none" w:sz="0" w:space="0" w:color="auto"/>
            <w:left w:val="none" w:sz="0" w:space="0" w:color="auto"/>
            <w:bottom w:val="none" w:sz="0" w:space="0" w:color="auto"/>
            <w:right w:val="none" w:sz="0" w:space="0" w:color="auto"/>
          </w:divBdr>
        </w:div>
        <w:div w:id="1087967729">
          <w:marLeft w:val="0"/>
          <w:marRight w:val="0"/>
          <w:marTop w:val="0"/>
          <w:marBottom w:val="0"/>
          <w:divBdr>
            <w:top w:val="none" w:sz="0" w:space="0" w:color="auto"/>
            <w:left w:val="none" w:sz="0" w:space="0" w:color="auto"/>
            <w:bottom w:val="none" w:sz="0" w:space="0" w:color="auto"/>
            <w:right w:val="none" w:sz="0" w:space="0" w:color="auto"/>
          </w:divBdr>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25092237">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43664564">
      <w:bodyDiv w:val="1"/>
      <w:marLeft w:val="0"/>
      <w:marRight w:val="0"/>
      <w:marTop w:val="0"/>
      <w:marBottom w:val="0"/>
      <w:divBdr>
        <w:top w:val="none" w:sz="0" w:space="0" w:color="auto"/>
        <w:left w:val="none" w:sz="0" w:space="0" w:color="auto"/>
        <w:bottom w:val="none" w:sz="0" w:space="0" w:color="auto"/>
        <w:right w:val="none" w:sz="0" w:space="0" w:color="auto"/>
      </w:divBdr>
    </w:div>
    <w:div w:id="1552501442">
      <w:bodyDiv w:val="1"/>
      <w:marLeft w:val="0"/>
      <w:marRight w:val="0"/>
      <w:marTop w:val="0"/>
      <w:marBottom w:val="0"/>
      <w:divBdr>
        <w:top w:val="none" w:sz="0" w:space="0" w:color="auto"/>
        <w:left w:val="none" w:sz="0" w:space="0" w:color="auto"/>
        <w:bottom w:val="none" w:sz="0" w:space="0" w:color="auto"/>
        <w:right w:val="none" w:sz="0" w:space="0" w:color="auto"/>
      </w:divBdr>
    </w:div>
    <w:div w:id="1554123297">
      <w:bodyDiv w:val="1"/>
      <w:marLeft w:val="0"/>
      <w:marRight w:val="0"/>
      <w:marTop w:val="0"/>
      <w:marBottom w:val="0"/>
      <w:divBdr>
        <w:top w:val="none" w:sz="0" w:space="0" w:color="auto"/>
        <w:left w:val="none" w:sz="0" w:space="0" w:color="auto"/>
        <w:bottom w:val="none" w:sz="0" w:space="0" w:color="auto"/>
        <w:right w:val="none" w:sz="0" w:space="0" w:color="auto"/>
      </w:divBdr>
      <w:divsChild>
        <w:div w:id="602496713">
          <w:marLeft w:val="0"/>
          <w:marRight w:val="0"/>
          <w:marTop w:val="0"/>
          <w:marBottom w:val="0"/>
          <w:divBdr>
            <w:top w:val="none" w:sz="0" w:space="0" w:color="auto"/>
            <w:left w:val="none" w:sz="0" w:space="0" w:color="auto"/>
            <w:bottom w:val="none" w:sz="0" w:space="0" w:color="auto"/>
            <w:right w:val="none" w:sz="0" w:space="0" w:color="auto"/>
          </w:divBdr>
        </w:div>
        <w:div w:id="1591498480">
          <w:marLeft w:val="0"/>
          <w:marRight w:val="0"/>
          <w:marTop w:val="0"/>
          <w:marBottom w:val="0"/>
          <w:divBdr>
            <w:top w:val="none" w:sz="0" w:space="0" w:color="auto"/>
            <w:left w:val="none" w:sz="0" w:space="0" w:color="auto"/>
            <w:bottom w:val="none" w:sz="0" w:space="0" w:color="auto"/>
            <w:right w:val="none" w:sz="0" w:space="0" w:color="auto"/>
          </w:divBdr>
        </w:div>
      </w:divsChild>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715621298">
      <w:bodyDiv w:val="1"/>
      <w:marLeft w:val="0"/>
      <w:marRight w:val="0"/>
      <w:marTop w:val="0"/>
      <w:marBottom w:val="0"/>
      <w:divBdr>
        <w:top w:val="none" w:sz="0" w:space="0" w:color="auto"/>
        <w:left w:val="none" w:sz="0" w:space="0" w:color="auto"/>
        <w:bottom w:val="none" w:sz="0" w:space="0" w:color="auto"/>
        <w:right w:val="none" w:sz="0" w:space="0" w:color="auto"/>
      </w:divBdr>
      <w:divsChild>
        <w:div w:id="1942642413">
          <w:marLeft w:val="0"/>
          <w:marRight w:val="0"/>
          <w:marTop w:val="0"/>
          <w:marBottom w:val="0"/>
          <w:divBdr>
            <w:top w:val="none" w:sz="0" w:space="0" w:color="auto"/>
            <w:left w:val="none" w:sz="0" w:space="0" w:color="auto"/>
            <w:bottom w:val="none" w:sz="0" w:space="0" w:color="auto"/>
            <w:right w:val="none" w:sz="0" w:space="0" w:color="auto"/>
          </w:divBdr>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1318339388">
              <w:marLeft w:val="0"/>
              <w:marRight w:val="0"/>
              <w:marTop w:val="0"/>
              <w:marBottom w:val="0"/>
              <w:divBdr>
                <w:top w:val="none" w:sz="0" w:space="0" w:color="auto"/>
                <w:left w:val="none" w:sz="0" w:space="0" w:color="auto"/>
                <w:bottom w:val="none" w:sz="0" w:space="0" w:color="auto"/>
                <w:right w:val="none" w:sz="0" w:space="0" w:color="auto"/>
              </w:divBdr>
            </w:div>
          </w:divsChild>
        </w:div>
        <w:div w:id="1793673741">
          <w:marLeft w:val="0"/>
          <w:marRight w:val="0"/>
          <w:marTop w:val="0"/>
          <w:marBottom w:val="0"/>
          <w:divBdr>
            <w:top w:val="none" w:sz="0" w:space="0" w:color="auto"/>
            <w:left w:val="none" w:sz="0" w:space="0" w:color="auto"/>
            <w:bottom w:val="none" w:sz="0" w:space="0" w:color="auto"/>
            <w:right w:val="none" w:sz="0" w:space="0" w:color="auto"/>
          </w:divBdr>
        </w:div>
        <w:div w:id="83308945">
          <w:marLeft w:val="0"/>
          <w:marRight w:val="0"/>
          <w:marTop w:val="0"/>
          <w:marBottom w:val="0"/>
          <w:divBdr>
            <w:top w:val="none" w:sz="0" w:space="0" w:color="auto"/>
            <w:left w:val="none" w:sz="0" w:space="0" w:color="auto"/>
            <w:bottom w:val="none" w:sz="0" w:space="0" w:color="auto"/>
            <w:right w:val="none" w:sz="0" w:space="0" w:color="auto"/>
          </w:divBdr>
        </w:div>
        <w:div w:id="713386688">
          <w:marLeft w:val="0"/>
          <w:marRight w:val="0"/>
          <w:marTop w:val="0"/>
          <w:marBottom w:val="0"/>
          <w:divBdr>
            <w:top w:val="none" w:sz="0" w:space="0" w:color="auto"/>
            <w:left w:val="none" w:sz="0" w:space="0" w:color="auto"/>
            <w:bottom w:val="none" w:sz="0" w:space="0" w:color="auto"/>
            <w:right w:val="none" w:sz="0" w:space="0" w:color="auto"/>
          </w:divBdr>
        </w:div>
      </w:divsChild>
    </w:div>
    <w:div w:id="1745489939">
      <w:bodyDiv w:val="1"/>
      <w:marLeft w:val="0"/>
      <w:marRight w:val="0"/>
      <w:marTop w:val="0"/>
      <w:marBottom w:val="0"/>
      <w:divBdr>
        <w:top w:val="none" w:sz="0" w:space="0" w:color="auto"/>
        <w:left w:val="none" w:sz="0" w:space="0" w:color="auto"/>
        <w:bottom w:val="none" w:sz="0" w:space="0" w:color="auto"/>
        <w:right w:val="none" w:sz="0" w:space="0" w:color="auto"/>
      </w:divBdr>
    </w:div>
    <w:div w:id="1752041130">
      <w:bodyDiv w:val="1"/>
      <w:marLeft w:val="0"/>
      <w:marRight w:val="0"/>
      <w:marTop w:val="0"/>
      <w:marBottom w:val="0"/>
      <w:divBdr>
        <w:top w:val="none" w:sz="0" w:space="0" w:color="auto"/>
        <w:left w:val="none" w:sz="0" w:space="0" w:color="auto"/>
        <w:bottom w:val="none" w:sz="0" w:space="0" w:color="auto"/>
        <w:right w:val="none" w:sz="0" w:space="0" w:color="auto"/>
      </w:divBdr>
      <w:divsChild>
        <w:div w:id="1176766327">
          <w:marLeft w:val="0"/>
          <w:marRight w:val="0"/>
          <w:marTop w:val="0"/>
          <w:marBottom w:val="0"/>
          <w:divBdr>
            <w:top w:val="none" w:sz="0" w:space="0" w:color="auto"/>
            <w:left w:val="none" w:sz="0" w:space="0" w:color="auto"/>
            <w:bottom w:val="none" w:sz="0" w:space="0" w:color="auto"/>
            <w:right w:val="none" w:sz="0" w:space="0" w:color="auto"/>
          </w:divBdr>
        </w:div>
        <w:div w:id="1173952429">
          <w:marLeft w:val="0"/>
          <w:marRight w:val="0"/>
          <w:marTop w:val="0"/>
          <w:marBottom w:val="0"/>
          <w:divBdr>
            <w:top w:val="none" w:sz="0" w:space="0" w:color="auto"/>
            <w:left w:val="none" w:sz="0" w:space="0" w:color="auto"/>
            <w:bottom w:val="none" w:sz="0" w:space="0" w:color="auto"/>
            <w:right w:val="none" w:sz="0" w:space="0" w:color="auto"/>
          </w:divBdr>
          <w:divsChild>
            <w:div w:id="1759059218">
              <w:marLeft w:val="0"/>
              <w:marRight w:val="0"/>
              <w:marTop w:val="0"/>
              <w:marBottom w:val="0"/>
              <w:divBdr>
                <w:top w:val="none" w:sz="0" w:space="0" w:color="auto"/>
                <w:left w:val="none" w:sz="0" w:space="0" w:color="auto"/>
                <w:bottom w:val="none" w:sz="0" w:space="0" w:color="auto"/>
                <w:right w:val="none" w:sz="0" w:space="0" w:color="auto"/>
              </w:divBdr>
            </w:div>
          </w:divsChild>
        </w:div>
        <w:div w:id="1594558143">
          <w:marLeft w:val="0"/>
          <w:marRight w:val="0"/>
          <w:marTop w:val="0"/>
          <w:marBottom w:val="0"/>
          <w:divBdr>
            <w:top w:val="none" w:sz="0" w:space="0" w:color="auto"/>
            <w:left w:val="none" w:sz="0" w:space="0" w:color="auto"/>
            <w:bottom w:val="none" w:sz="0" w:space="0" w:color="auto"/>
            <w:right w:val="none" w:sz="0" w:space="0" w:color="auto"/>
          </w:divBdr>
        </w:div>
        <w:div w:id="1780680834">
          <w:marLeft w:val="0"/>
          <w:marRight w:val="0"/>
          <w:marTop w:val="0"/>
          <w:marBottom w:val="0"/>
          <w:divBdr>
            <w:top w:val="none" w:sz="0" w:space="0" w:color="auto"/>
            <w:left w:val="none" w:sz="0" w:space="0" w:color="auto"/>
            <w:bottom w:val="none" w:sz="0" w:space="0" w:color="auto"/>
            <w:right w:val="none" w:sz="0" w:space="0" w:color="auto"/>
          </w:divBdr>
        </w:div>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 w:id="1782803811">
      <w:bodyDiv w:val="1"/>
      <w:marLeft w:val="0"/>
      <w:marRight w:val="0"/>
      <w:marTop w:val="0"/>
      <w:marBottom w:val="0"/>
      <w:divBdr>
        <w:top w:val="none" w:sz="0" w:space="0" w:color="auto"/>
        <w:left w:val="none" w:sz="0" w:space="0" w:color="auto"/>
        <w:bottom w:val="none" w:sz="0" w:space="0" w:color="auto"/>
        <w:right w:val="none" w:sz="0" w:space="0" w:color="auto"/>
      </w:divBdr>
    </w:div>
    <w:div w:id="1810585895">
      <w:bodyDiv w:val="1"/>
      <w:marLeft w:val="0"/>
      <w:marRight w:val="0"/>
      <w:marTop w:val="0"/>
      <w:marBottom w:val="0"/>
      <w:divBdr>
        <w:top w:val="none" w:sz="0" w:space="0" w:color="auto"/>
        <w:left w:val="none" w:sz="0" w:space="0" w:color="auto"/>
        <w:bottom w:val="none" w:sz="0" w:space="0" w:color="auto"/>
        <w:right w:val="none" w:sz="0" w:space="0" w:color="auto"/>
      </w:divBdr>
      <w:divsChild>
        <w:div w:id="1006053616">
          <w:marLeft w:val="0"/>
          <w:marRight w:val="0"/>
          <w:marTop w:val="0"/>
          <w:marBottom w:val="0"/>
          <w:divBdr>
            <w:top w:val="none" w:sz="0" w:space="0" w:color="auto"/>
            <w:left w:val="none" w:sz="0" w:space="0" w:color="auto"/>
            <w:bottom w:val="none" w:sz="0" w:space="0" w:color="auto"/>
            <w:right w:val="none" w:sz="0" w:space="0" w:color="auto"/>
          </w:divBdr>
        </w:div>
        <w:div w:id="426778682">
          <w:marLeft w:val="0"/>
          <w:marRight w:val="0"/>
          <w:marTop w:val="0"/>
          <w:marBottom w:val="0"/>
          <w:divBdr>
            <w:top w:val="none" w:sz="0" w:space="0" w:color="auto"/>
            <w:left w:val="none" w:sz="0" w:space="0" w:color="auto"/>
            <w:bottom w:val="none" w:sz="0" w:space="0" w:color="auto"/>
            <w:right w:val="none" w:sz="0" w:space="0" w:color="auto"/>
          </w:divBdr>
        </w:div>
        <w:div w:id="1678996381">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895193760">
      <w:bodyDiv w:val="1"/>
      <w:marLeft w:val="0"/>
      <w:marRight w:val="0"/>
      <w:marTop w:val="0"/>
      <w:marBottom w:val="0"/>
      <w:divBdr>
        <w:top w:val="none" w:sz="0" w:space="0" w:color="auto"/>
        <w:left w:val="none" w:sz="0" w:space="0" w:color="auto"/>
        <w:bottom w:val="none" w:sz="0" w:space="0" w:color="auto"/>
        <w:right w:val="none" w:sz="0" w:space="0" w:color="auto"/>
      </w:divBdr>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6238469">
      <w:bodyDiv w:val="1"/>
      <w:marLeft w:val="0"/>
      <w:marRight w:val="0"/>
      <w:marTop w:val="0"/>
      <w:marBottom w:val="0"/>
      <w:divBdr>
        <w:top w:val="none" w:sz="0" w:space="0" w:color="auto"/>
        <w:left w:val="none" w:sz="0" w:space="0" w:color="auto"/>
        <w:bottom w:val="none" w:sz="0" w:space="0" w:color="auto"/>
        <w:right w:val="none" w:sz="0" w:space="0" w:color="auto"/>
      </w:divBdr>
    </w:div>
    <w:div w:id="1918512228">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23488246">
      <w:bodyDiv w:val="1"/>
      <w:marLeft w:val="0"/>
      <w:marRight w:val="0"/>
      <w:marTop w:val="0"/>
      <w:marBottom w:val="0"/>
      <w:divBdr>
        <w:top w:val="none" w:sz="0" w:space="0" w:color="auto"/>
        <w:left w:val="none" w:sz="0" w:space="0" w:color="auto"/>
        <w:bottom w:val="none" w:sz="0" w:space="0" w:color="auto"/>
        <w:right w:val="none" w:sz="0" w:space="0" w:color="auto"/>
      </w:divBdr>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009094729">
      <w:bodyDiv w:val="1"/>
      <w:marLeft w:val="0"/>
      <w:marRight w:val="0"/>
      <w:marTop w:val="0"/>
      <w:marBottom w:val="0"/>
      <w:divBdr>
        <w:top w:val="none" w:sz="0" w:space="0" w:color="auto"/>
        <w:left w:val="none" w:sz="0" w:space="0" w:color="auto"/>
        <w:bottom w:val="none" w:sz="0" w:space="0" w:color="auto"/>
        <w:right w:val="none" w:sz="0" w:space="0" w:color="auto"/>
      </w:divBdr>
    </w:div>
    <w:div w:id="2033414602">
      <w:bodyDiv w:val="1"/>
      <w:marLeft w:val="0"/>
      <w:marRight w:val="0"/>
      <w:marTop w:val="0"/>
      <w:marBottom w:val="0"/>
      <w:divBdr>
        <w:top w:val="none" w:sz="0" w:space="0" w:color="auto"/>
        <w:left w:val="none" w:sz="0" w:space="0" w:color="auto"/>
        <w:bottom w:val="none" w:sz="0" w:space="0" w:color="auto"/>
        <w:right w:val="none" w:sz="0" w:space="0" w:color="auto"/>
      </w:divBdr>
    </w:div>
    <w:div w:id="2080638970">
      <w:bodyDiv w:val="1"/>
      <w:marLeft w:val="0"/>
      <w:marRight w:val="0"/>
      <w:marTop w:val="0"/>
      <w:marBottom w:val="0"/>
      <w:divBdr>
        <w:top w:val="none" w:sz="0" w:space="0" w:color="auto"/>
        <w:left w:val="none" w:sz="0" w:space="0" w:color="auto"/>
        <w:bottom w:val="none" w:sz="0" w:space="0" w:color="auto"/>
        <w:right w:val="none" w:sz="0" w:space="0" w:color="auto"/>
      </w:divBdr>
    </w:div>
    <w:div w:id="2083870520">
      <w:bodyDiv w:val="1"/>
      <w:marLeft w:val="0"/>
      <w:marRight w:val="0"/>
      <w:marTop w:val="0"/>
      <w:marBottom w:val="0"/>
      <w:divBdr>
        <w:top w:val="none" w:sz="0" w:space="0" w:color="auto"/>
        <w:left w:val="none" w:sz="0" w:space="0" w:color="auto"/>
        <w:bottom w:val="none" w:sz="0" w:space="0" w:color="auto"/>
        <w:right w:val="none" w:sz="0" w:space="0" w:color="auto"/>
      </w:divBdr>
    </w:div>
    <w:div w:id="2097357821">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4860684">
      <w:bodyDiv w:val="1"/>
      <w:marLeft w:val="0"/>
      <w:marRight w:val="0"/>
      <w:marTop w:val="0"/>
      <w:marBottom w:val="0"/>
      <w:divBdr>
        <w:top w:val="none" w:sz="0" w:space="0" w:color="auto"/>
        <w:left w:val="none" w:sz="0" w:space="0" w:color="auto"/>
        <w:bottom w:val="none" w:sz="0" w:space="0" w:color="auto"/>
        <w:right w:val="none" w:sz="0" w:space="0" w:color="auto"/>
      </w:divBdr>
      <w:divsChild>
        <w:div w:id="1209882214">
          <w:marLeft w:val="0"/>
          <w:marRight w:val="0"/>
          <w:marTop w:val="0"/>
          <w:marBottom w:val="0"/>
          <w:divBdr>
            <w:top w:val="none" w:sz="0" w:space="0" w:color="auto"/>
            <w:left w:val="none" w:sz="0" w:space="0" w:color="auto"/>
            <w:bottom w:val="none" w:sz="0" w:space="0" w:color="auto"/>
            <w:right w:val="none" w:sz="0" w:space="0" w:color="auto"/>
          </w:divBdr>
        </w:div>
        <w:div w:id="695665451">
          <w:marLeft w:val="0"/>
          <w:marRight w:val="0"/>
          <w:marTop w:val="0"/>
          <w:marBottom w:val="0"/>
          <w:divBdr>
            <w:top w:val="none" w:sz="0" w:space="0" w:color="auto"/>
            <w:left w:val="none" w:sz="0" w:space="0" w:color="auto"/>
            <w:bottom w:val="none" w:sz="0" w:space="0" w:color="auto"/>
            <w:right w:val="none" w:sz="0" w:space="0" w:color="auto"/>
          </w:divBdr>
        </w:div>
        <w:div w:id="532962010">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beck-online.beck.de/Default.aspx?typ=reference&amp;y=100&amp;G=OWiG&amp;P=1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999929 xmlns="http://www.datev.de/BSOffice/999929">33028bd2-ebd1-4985-ae2e-0425ddb42eb7</BSO999929>
</file>

<file path=customXml/itemProps1.xml><?xml version="1.0" encoding="utf-8"?>
<ds:datastoreItem xmlns:ds="http://schemas.openxmlformats.org/officeDocument/2006/customXml" ds:itemID="{A716F457-FBBE-44A9-AE8D-FB4F8CA7B697}">
  <ds:schemaRefs>
    <ds:schemaRef ds:uri="http://schemas.openxmlformats.org/officeDocument/2006/bibliography"/>
  </ds:schemaRefs>
</ds:datastoreItem>
</file>

<file path=customXml/itemProps2.xml><?xml version="1.0" encoding="utf-8"?>
<ds:datastoreItem xmlns:ds="http://schemas.openxmlformats.org/officeDocument/2006/customXml" ds:itemID="{339B180D-C734-4B5A-8BC1-062EF1902CA7}">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10192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8</cp:revision>
  <cp:lastPrinted>2019-01-17T09:30:00Z</cp:lastPrinted>
  <dcterms:created xsi:type="dcterms:W3CDTF">2023-04-02T11:32:00Z</dcterms:created>
  <dcterms:modified xsi:type="dcterms:W3CDTF">2023-04-30T09:38:00Z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708244</vt:lpwstr>
  </property>
  <property fmtid="{D5CDD505-2E9C-101B-9397-08002B2CF9AE}" pid="5" name="DATEV-DMS_BETREFF">
    <vt:lpwstr>Mandantenrundbrief Mai 2023</vt:lpwstr>
  </property>
</Properties>
</file>