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A0" w:rsidRPr="00A2710A" w:rsidRDefault="001745A0" w:rsidP="00F16BD1">
      <w:pPr>
        <w:pStyle w:val="KeinLeerraum"/>
        <w:jc w:val="both"/>
      </w:pPr>
      <w:r w:rsidRPr="00A2710A">
        <w:rPr>
          <w:noProof/>
          <w:lang w:eastAsia="de-DE"/>
        </w:rPr>
        <mc:AlternateContent>
          <mc:Choice Requires="wps">
            <w:drawing>
              <wp:anchor distT="0" distB="0" distL="114300" distR="114300" simplePos="0" relativeHeight="251659264" behindDoc="0" locked="0" layoutInCell="1" allowOverlap="1" wp14:anchorId="3159C8FE" wp14:editId="5C80751D">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04699">
                              <w:rPr>
                                <w:b/>
                                <w:sz w:val="28"/>
                              </w:rPr>
                              <w:t xml:space="preserve">nd Wohnungseigen-tumsrecht </w:t>
                            </w:r>
                            <w:r w:rsidR="00ED7A22">
                              <w:rPr>
                                <w:b/>
                                <w:sz w:val="28"/>
                              </w:rPr>
                              <w:t>Oktober</w:t>
                            </w:r>
                            <w:r w:rsidR="00552D94">
                              <w:rPr>
                                <w:b/>
                                <w:sz w:val="28"/>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9C8FE"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04699">
                        <w:rPr>
                          <w:b/>
                          <w:sz w:val="28"/>
                        </w:rPr>
                        <w:t xml:space="preserve">nd Wohnungseigen-tumsrecht </w:t>
                      </w:r>
                      <w:r w:rsidR="00ED7A22">
                        <w:rPr>
                          <w:b/>
                          <w:sz w:val="28"/>
                        </w:rPr>
                        <w:t>Oktober</w:t>
                      </w:r>
                      <w:r w:rsidR="00552D94">
                        <w:rPr>
                          <w:b/>
                          <w:sz w:val="28"/>
                        </w:rPr>
                        <w:t xml:space="preserve"> 2021</w:t>
                      </w:r>
                    </w:p>
                  </w:txbxContent>
                </v:textbox>
              </v:shape>
            </w:pict>
          </mc:Fallback>
        </mc:AlternateContent>
      </w:r>
    </w:p>
    <w:p w:rsidR="001745A0" w:rsidRPr="00A2710A" w:rsidRDefault="001745A0" w:rsidP="00F16BD1">
      <w:pPr>
        <w:pStyle w:val="KeinLeerraum"/>
        <w:jc w:val="both"/>
      </w:pPr>
    </w:p>
    <w:p w:rsidR="001745A0" w:rsidRPr="00A2710A" w:rsidRDefault="001745A0" w:rsidP="00F16BD1">
      <w:pPr>
        <w:pStyle w:val="KeinLeerraum"/>
        <w:jc w:val="both"/>
      </w:pPr>
    </w:p>
    <w:p w:rsidR="001745A0" w:rsidRPr="00A2710A" w:rsidRDefault="001745A0" w:rsidP="00F16BD1">
      <w:pPr>
        <w:pStyle w:val="KeinLeerraum"/>
        <w:jc w:val="both"/>
      </w:pPr>
    </w:p>
    <w:p w:rsidR="00415FF2" w:rsidRPr="00A2710A" w:rsidRDefault="00415FF2" w:rsidP="00415FF2">
      <w:pPr>
        <w:pStyle w:val="berschrift5"/>
        <w:rPr>
          <w:color w:val="auto"/>
        </w:rPr>
      </w:pPr>
    </w:p>
    <w:p w:rsidR="00ED7A22" w:rsidRDefault="00AE690E" w:rsidP="00ED7A22">
      <w:pPr>
        <w:pStyle w:val="StandardWeb"/>
        <w:rPr>
          <w:b/>
        </w:rPr>
      </w:pPr>
      <w:r w:rsidRPr="00A2710A">
        <w:rPr>
          <w:b/>
        </w:rPr>
        <w:t>﻿</w:t>
      </w:r>
      <w:r w:rsidR="00ED7A22">
        <w:rPr>
          <w:b/>
        </w:rPr>
        <w:t>Ersatz von geleisteten Zahlungen in einer 2er WEG</w:t>
      </w:r>
    </w:p>
    <w:p w:rsidR="00ED7A22" w:rsidRDefault="00ED7A22" w:rsidP="00ED7A22">
      <w:pPr>
        <w:pStyle w:val="StandardWeb"/>
      </w:pPr>
      <w:r>
        <w:t xml:space="preserve">Mit Urteil vom 7.5.2021 hat der </w:t>
      </w:r>
      <w:r>
        <w:rPr>
          <w:b/>
        </w:rPr>
        <w:t>BGH</w:t>
      </w:r>
      <w:r>
        <w:t xml:space="preserve"> entschieden, dass auch in dem Fall, dass ein Wohnungseigentümer, um in einer zerstritten verwalterlosen 2er Gemeinschaft für eine ordnungsgemäße Verwaltung der Wohnanlage zu sorgen, anstelle der Gemeinschaft Verträge mit Dritten abschließt und hierauf basierende Zahlungsansprüche tätigt, wird er für die Gemeinschaft tätig, so dass sich insbesondere Ansprüche aus der Geschäftsführung ohne Auftrag oder Bereicherungsrecht gegen die Gemeinschaft und nicht gegen den anderen Wohnungseigentümer richten.</w:t>
      </w:r>
    </w:p>
    <w:p w:rsidR="0000368A" w:rsidRPr="0000368A" w:rsidRDefault="0000368A" w:rsidP="0000368A">
      <w:pPr>
        <w:pStyle w:val="StandardWeb"/>
        <w:rPr>
          <w:b/>
        </w:rPr>
      </w:pPr>
      <w:r w:rsidRPr="0000368A">
        <w:rPr>
          <w:b/>
        </w:rPr>
        <w:t>Unterlassene Betriebskostenabrechnung</w:t>
      </w:r>
    </w:p>
    <w:p w:rsidR="00C42362" w:rsidRDefault="0000368A" w:rsidP="0000368A">
      <w:pPr>
        <w:pStyle w:val="StandardWeb"/>
      </w:pPr>
      <w:r>
        <w:t xml:space="preserve">Der </w:t>
      </w:r>
      <w:r w:rsidRPr="0000368A">
        <w:rPr>
          <w:b/>
        </w:rPr>
        <w:t>BGH</w:t>
      </w:r>
      <w:r>
        <w:t xml:space="preserve"> hat mit Urteil vom 07.07.2021 entschieden, dass der Mieter die geleisteten Vorauszahlungen zurückverlangen kann, wenn das Mietverhältnis nach Eintritt der Abrechnungsreife endet und der Vermieter über die Betriebskosten nicht abgerechnet hat. Bei bestehendem Mietverhältnis kann der Mieter – nur – die Zahlung weiterer Betriebskosten Vorauszahlungen zurückbehalten. Das gleiche gilt bei einem beendeten Mietverhältnis für die Abrechnungsperioden, für die die Abrechnungsfrist noch während des bestehenden Mietverhältnisses abgelaufen war. Nach § 556 Abs. 3 Satz 1 BGB ist über die Vorauszahlungen für Betriebskosten jährlich abzurechnen. Kommt der Vermieter diesem nicht fristgerecht nach, kann der Mieter bei beendetem Mietverhältnis die Vorauszahlung ohne zeitraubenden Umweg über eine Stufenklage auf Erteilung der Abrechnung sogleich zurückverlangen. Bei Fortdauer des Mietverhältnisses besteht hierfür kein Anlass, denn der Mieter ist durch ein Zurückbehaltungsrecht gemäß § 273 Abs. 1 </w:t>
      </w:r>
      <w:r>
        <w:t>BGB hinreichend geschützt. Das gleiche gilt bei einem beendeten Mietverhältnis, der Mieter ist insofern nicht schutzbedürftig, denn er hatte während des Mietverhältnisses die Möglichkeit, die laufenden Zahlungen einzubehalten, sich so schadlos zu halten und auf den Vermieter Druck zur Erteilung der geschuldeten Abrechnung auszuüben.</w:t>
      </w:r>
    </w:p>
    <w:p w:rsidR="008A1136" w:rsidRPr="008A1136" w:rsidRDefault="008A1136" w:rsidP="008A1136">
      <w:pPr>
        <w:pStyle w:val="StandardWeb"/>
        <w:rPr>
          <w:b/>
        </w:rPr>
      </w:pPr>
      <w:r w:rsidRPr="008A1136">
        <w:rPr>
          <w:b/>
        </w:rPr>
        <w:t>Prozessführungsbefugnis eines Gesellschafters einer GbR</w:t>
      </w:r>
    </w:p>
    <w:p w:rsidR="0000368A" w:rsidRDefault="008A1136" w:rsidP="008A1136">
      <w:pPr>
        <w:pStyle w:val="StandardWeb"/>
      </w:pPr>
      <w:r>
        <w:t xml:space="preserve">Mit Urteil vom 07.07.2021 hat der </w:t>
      </w:r>
      <w:r w:rsidRPr="008A1136">
        <w:rPr>
          <w:b/>
        </w:rPr>
        <w:t>BGH</w:t>
      </w:r>
      <w:r>
        <w:t xml:space="preserve"> entschieden, dass ein einzelner Gesellschafter einer vermietenden Gesellschaft bürgerlichen Rechts nicht berechtigt ist, von Mieter die Zahlung einer Betriebskostennachforderung zu fordern. Daran ändert auch die Tatsache nichts, dass er Zahlung an die Gesellschaft bürgerlichen Rechts verlangt. Ein Gesellschafter allein ist nicht prozessführungsbefugt. Ein Kläger ist nur dann prozessführungsbefugt, wenn er berechtigt ist, über das behauptete Recht einem Prozess als Partei im eigenen Namen zu führen. Der Anspruch auf Zahlung rückständiger Miete, Betriebskostennachforderung etc. steht der Gesellschaft bürgerlichen Rechts zu. Die Gesellschafter können nur gemeinschaftlich eine der Gesellschaft zustehende Forderung einklagen.</w:t>
      </w:r>
    </w:p>
    <w:p w:rsidR="008A1136" w:rsidRPr="008A1136" w:rsidRDefault="008A1136" w:rsidP="008A1136">
      <w:pPr>
        <w:pStyle w:val="StandardWeb"/>
        <w:rPr>
          <w:b/>
        </w:rPr>
      </w:pPr>
      <w:r w:rsidRPr="008A1136">
        <w:rPr>
          <w:b/>
        </w:rPr>
        <w:t>Vertragsanpassung bei Corona</w:t>
      </w:r>
    </w:p>
    <w:p w:rsidR="008A1136" w:rsidRDefault="008A1136" w:rsidP="008A1136">
      <w:pPr>
        <w:pStyle w:val="StandardWeb"/>
      </w:pPr>
      <w:r>
        <w:t>Das Oberlandesgericht Köln hat mit Beschluss vom 31.05.2021 festgestellt, dass eine Vertragsanpassung nach § 313 BGB nur in Betracht kommt, wenn das unveränderte Festhalten am Vertrag für den Mieter unzumutbar ist. Der Mieter hat substantiiert zu den wirtschaftlichen Folgen vorzutragen. Staatliche Hilfszahlungen und weitere zumutbare Maßnahmen zur Kostensenkung, z. B. Kurzarbeit, sind zu berücksichtigen. Liegen nur Einschränkungen für den Geschäftsbetrieb vor, so ist eine umfassende Interessenabwägung unter Berücksichtigung sämtlicher Umstände des Einzelfalls erforderlich. Hierzu gehören insbesondere: Umfang der Umsatzeinbu</w:t>
      </w:r>
      <w:r>
        <w:lastRenderedPageBreak/>
        <w:t>ßen, Umfang der erhaltenen Hilfszahlungen, Umfang der durch zusätzliche Anträge erzielbaren weiteren Hilfszahlungen, Möglichkeit der Betriebskostensenkung etc.</w:t>
      </w:r>
    </w:p>
    <w:p w:rsidR="00F65428" w:rsidRPr="00F65428" w:rsidRDefault="00F65428" w:rsidP="00F65428">
      <w:pPr>
        <w:pStyle w:val="StandardWeb"/>
        <w:rPr>
          <w:b/>
        </w:rPr>
      </w:pPr>
      <w:r w:rsidRPr="00F65428">
        <w:rPr>
          <w:b/>
        </w:rPr>
        <w:t>Vollmacht des WEG Verwalters zum Vergleichsabschluss?</w:t>
      </w:r>
    </w:p>
    <w:p w:rsidR="008A1136" w:rsidRDefault="00F65428" w:rsidP="00F65428">
      <w:pPr>
        <w:pStyle w:val="StandardWeb"/>
      </w:pPr>
      <w:r>
        <w:t xml:space="preserve">Das </w:t>
      </w:r>
      <w:r w:rsidRPr="00F65428">
        <w:rPr>
          <w:b/>
        </w:rPr>
        <w:t>OLG Bamberg</w:t>
      </w:r>
      <w:r>
        <w:t xml:space="preserve"> hat am 20.03.2019 entschieden, dass der zum Abschluss und der Abwicklung eines Bauvertrags ermächtigten Verwalter einer Wohnungseigentümergemeinschaft ohne besondere Bevollmächtigung nicht dazu berechtigt ist, mit dem Bauunternehmer einen Vergleich über die Höhe der Schlussrechnungssumme zu schließen. Die Nichtzulassungsbeschwerde zum BGH wurde mit Beschluss vom 24.02.2021 zurückgewiesen. Aus § 27 Absatz 3 WEG alte Fassung folgt nicht, dass der Verwalter für einen solchen Vergleichsabschluss bevollmächtigt ist. Eine Änderung des ursprünglichen Vertrags weit über die vereinbarte Auftragssumme ist eine Überschreitung der Grenzen der bestehenden Vollmacht. Ein solcher Vergleich soll eine Forderung des Bauunternehmens auf einen neuen Schuldgrund stellen und der WEG jeglichen Einwand einschließlich der Prüfung, ob die streitigen Leistungen überhaupt erbracht wurden, abschneiden.</w:t>
      </w:r>
    </w:p>
    <w:p w:rsidR="00F65428" w:rsidRPr="00F65428" w:rsidRDefault="00F65428" w:rsidP="00F65428">
      <w:pPr>
        <w:pStyle w:val="StandardWeb"/>
        <w:rPr>
          <w:b/>
        </w:rPr>
      </w:pPr>
      <w:r w:rsidRPr="00F65428">
        <w:rPr>
          <w:b/>
        </w:rPr>
        <w:t>Prozentuale Erhöhung der Vergütung des Verwalters</w:t>
      </w:r>
    </w:p>
    <w:p w:rsidR="00F65428" w:rsidRDefault="00F65428" w:rsidP="00F65428">
      <w:pPr>
        <w:pStyle w:val="StandardWeb"/>
      </w:pPr>
      <w:r w:rsidRPr="00F65428">
        <w:t xml:space="preserve">Das </w:t>
      </w:r>
      <w:r w:rsidRPr="00F65428">
        <w:rPr>
          <w:b/>
        </w:rPr>
        <w:t>Landgericht Frankfurt</w:t>
      </w:r>
      <w:r w:rsidRPr="00F65428">
        <w:t xml:space="preserve"> hat mit Urteil vom 24.06.2021 entschieden, dass eine Klausel im Verwaltervertrag, die eine pauschale jährliche Vergütungserhöhung um 4 % vorsieht, die Wohnungseigentümergemeinschaft unangemessen benachteiligt und unwirksam ist.</w:t>
      </w:r>
      <w:r>
        <w:t xml:space="preserve"> </w:t>
      </w:r>
      <w:r w:rsidRPr="00F65428">
        <w:t>Die Wohnungseigentümergemeinschaft, der auch Verbraucher angehören, kann sich auf die Nichtigkeit gemäß § 307 Abs. 1 Satz 1 BGB berufen. Eine Preisanpassungsklausel ist als sogenannte Preisnebenabrede kontrollfähig, wobei es keine Rolle spielt, ob die Klausel dem Verwender nur ein</w:t>
      </w:r>
      <w:r>
        <w:t xml:space="preserve"> Erhöhungsrecht zubilligt oder s</w:t>
      </w:r>
      <w:r w:rsidRPr="00F65428">
        <w:t xml:space="preserve">ie, </w:t>
      </w:r>
      <w:r>
        <w:t>wie</w:t>
      </w:r>
      <w:r w:rsidRPr="00F65428">
        <w:t xml:space="preserve"> hier, eine automatische Preisanpassung bewirkt, da sie in beiden Fällen von dem das dispositive Recht beherrschenden Grundsatz abweicht, dass die Preisvereinbarung </w:t>
      </w:r>
      <w:r>
        <w:t>bei</w:t>
      </w:r>
      <w:r w:rsidRPr="00F65428">
        <w:t xml:space="preserve"> Vertragsschluss für die gesamte Vertragsdauer bindend ist. Eine unzulässige Preisklausel liegt danach vor, wenn, wie hier, lediglich eine pauschale Preiserhöhung erfolgt, </w:t>
      </w:r>
      <w:r>
        <w:t>ohne</w:t>
      </w:r>
      <w:r w:rsidRPr="00F65428">
        <w:t xml:space="preserve"> dass sichergestel</w:t>
      </w:r>
      <w:r>
        <w:t>lt ist, dass im gleichen Umfang P</w:t>
      </w:r>
      <w:r w:rsidRPr="00F65428">
        <w:t>reissteigerungen beim Verwalter eintreten.</w:t>
      </w:r>
    </w:p>
    <w:p w:rsidR="00F65428" w:rsidRPr="00F65428" w:rsidRDefault="00F65428" w:rsidP="00F65428">
      <w:pPr>
        <w:pStyle w:val="StandardWeb"/>
        <w:rPr>
          <w:b/>
        </w:rPr>
      </w:pPr>
      <w:r w:rsidRPr="00F65428">
        <w:rPr>
          <w:b/>
        </w:rPr>
        <w:t>Versammlungseinladung durch nicht ermächtigten Eigentümer</w:t>
      </w:r>
    </w:p>
    <w:p w:rsidR="0000368A" w:rsidRDefault="00F65428" w:rsidP="00F65428">
      <w:pPr>
        <w:pStyle w:val="StandardWeb"/>
      </w:pPr>
      <w:r>
        <w:t xml:space="preserve">Beschlüsse, die auf einer Versammlung gefasst werden, zu der ein nicht ermächtigte Eigentümer eingeladen hat, sind nach einem Beschluss des </w:t>
      </w:r>
      <w:r w:rsidRPr="00F65428">
        <w:rPr>
          <w:b/>
        </w:rPr>
        <w:t>Landgerichtes Frankfurt</w:t>
      </w:r>
      <w:r>
        <w:t xml:space="preserve"> vom 15.04.2021 </w:t>
      </w:r>
      <w:r w:rsidR="000C51A6">
        <w:t xml:space="preserve">nicht </w:t>
      </w:r>
      <w:r>
        <w:t>nichtig.</w:t>
      </w:r>
      <w:r w:rsidR="000C51A6" w:rsidRPr="000C51A6">
        <w:t xml:space="preserve"> Ein Beschluss, der gegen die Zuständigkeitsregeln des § 24 Abs. 1 bis </w:t>
      </w:r>
      <w:r w:rsidR="000C51A6">
        <w:t>3 WEG a</w:t>
      </w:r>
      <w:r w:rsidR="000C51A6" w:rsidRPr="000C51A6">
        <w:t>lte Fassung verstößt, ist nur dann n</w:t>
      </w:r>
      <w:r w:rsidR="000C51A6">
        <w:t>ichtig, wenn ein unbeteiligter D</w:t>
      </w:r>
      <w:r w:rsidR="000C51A6" w:rsidRPr="000C51A6">
        <w:t xml:space="preserve">ritter zur Versammlung einlädt. Erfolgt die Einladung durch einen nicht ermächtigten Wohnungseigentümer, ist der Beschluss lediglich anfechtbar. </w:t>
      </w:r>
      <w:r>
        <w:t xml:space="preserve"> </w:t>
      </w:r>
    </w:p>
    <w:p w:rsidR="00ED431B" w:rsidRPr="00ED431B" w:rsidRDefault="00ED431B" w:rsidP="00872DD4">
      <w:pPr>
        <w:pStyle w:val="StandardWeb"/>
        <w:rPr>
          <w:b/>
        </w:rPr>
      </w:pPr>
      <w:r>
        <w:rPr>
          <w:b/>
        </w:rPr>
        <w:t>Beschlussa</w:t>
      </w:r>
      <w:r w:rsidRPr="00ED431B">
        <w:rPr>
          <w:b/>
        </w:rPr>
        <w:t>nfechtungsklage; Zustellung demnächst</w:t>
      </w:r>
    </w:p>
    <w:p w:rsidR="00ED431B" w:rsidRDefault="00ED431B" w:rsidP="00ED431B">
      <w:pPr>
        <w:pStyle w:val="StandardWeb"/>
      </w:pPr>
      <w:r>
        <w:t xml:space="preserve">Das </w:t>
      </w:r>
      <w:r w:rsidRPr="00ED431B">
        <w:rPr>
          <w:b/>
        </w:rPr>
        <w:t>Landgericht Frankfurt am Main</w:t>
      </w:r>
      <w:r>
        <w:t xml:space="preserve"> hat mit Urteil vom 15.7.2021 entschieden, dass dann, wenn der Kläger die ihm obliegenden Schritte unternommen hat, um in dem von ihm angestrengten Beschlussmängelverfahren eine Zustellung demnächst zu bewirken, er sich grundsätzlich nicht weiter um den Fortgang der Sache bei Gericht kümmern muss. Erst kurz vor Ablauf von sechs Monaten erwägt das Landgericht Frankfurt am Main eine Nachfrageobliegenheit.</w:t>
      </w:r>
    </w:p>
    <w:p w:rsidR="00196BCA" w:rsidRPr="00196BCA" w:rsidRDefault="00196BCA" w:rsidP="00196BCA">
      <w:pPr>
        <w:pStyle w:val="StandardWeb"/>
        <w:rPr>
          <w:b/>
        </w:rPr>
      </w:pPr>
      <w:r w:rsidRPr="00196BCA">
        <w:rPr>
          <w:b/>
        </w:rPr>
        <w:t xml:space="preserve">Mietspiegel </w:t>
      </w:r>
      <w:r w:rsidR="00FA2FC5">
        <w:rPr>
          <w:b/>
        </w:rPr>
        <w:t>bei Miet</w:t>
      </w:r>
      <w:r>
        <w:rPr>
          <w:b/>
        </w:rPr>
        <w:t xml:space="preserve">erhöhungsbegehren </w:t>
      </w:r>
      <w:r w:rsidRPr="00196BCA">
        <w:rPr>
          <w:b/>
        </w:rPr>
        <w:t>mitschicken?</w:t>
      </w:r>
    </w:p>
    <w:p w:rsidR="00196BCA" w:rsidRDefault="00196BCA" w:rsidP="00196BCA">
      <w:pPr>
        <w:pStyle w:val="StandardWeb"/>
      </w:pPr>
      <w:r>
        <w:t xml:space="preserve">Mit Urteil vom 7.7.2021 hat der </w:t>
      </w:r>
      <w:r w:rsidRPr="00196BCA">
        <w:rPr>
          <w:b/>
        </w:rPr>
        <w:t>Bundesgerichtshof</w:t>
      </w:r>
      <w:r>
        <w:t xml:space="preserve"> entschieden, dass bei einer Mieterhöhung unter Bezugnahme auf den Mietspiegel, dieser nicht beigefügt werden muss, wenn der Vermieter sich auf einen für die Wohnanlage bestehenden allgemein zugänglichen Mietspiegel bezieht. Der Mietspiegel muss nicht nach Paragraph 558a BGB beigefügt werden. Wenn er allgemein zugänglich ist, ist es dem Mieter zuzumuten, selbst Einsicht in den Spiegel zu nehmen, um die Berechnung der Erhöhung zu überprüfen. Allgemein zugänglich ist dabei auch ein gegen eine geringe Schutzgebühr erhältlich am Mietspiegel.</w:t>
      </w:r>
    </w:p>
    <w:p w:rsidR="00F65428" w:rsidRPr="00872DD4" w:rsidRDefault="00872DD4" w:rsidP="00F65428">
      <w:pPr>
        <w:pStyle w:val="StandardWeb"/>
        <w:rPr>
          <w:b/>
        </w:rPr>
      </w:pPr>
      <w:r w:rsidRPr="00872DD4">
        <w:rPr>
          <w:b/>
        </w:rPr>
        <w:t>Schlüsselverlust, Austausch der Schließanlage</w:t>
      </w:r>
    </w:p>
    <w:p w:rsidR="00F65428" w:rsidRDefault="00872DD4" w:rsidP="00F65428">
      <w:pPr>
        <w:pStyle w:val="StandardWeb"/>
      </w:pPr>
      <w:r w:rsidRPr="00872DD4">
        <w:t xml:space="preserve">Das </w:t>
      </w:r>
      <w:r w:rsidRPr="00872DD4">
        <w:rPr>
          <w:b/>
        </w:rPr>
        <w:t>Amtsgericht Hamburg Altona</w:t>
      </w:r>
      <w:r w:rsidRPr="00872DD4">
        <w:t xml:space="preserve"> hat mit Urteil vom 16.03.2021 entschieden, dass für die Schätzung der üblichen Lebensdauer einer noch funktionierenden, nach Schlüsselverlust auszutauschenden Schließanlage d</w:t>
      </w:r>
      <w:r>
        <w:t>es Mietshauses auf Lebensdauert</w:t>
      </w:r>
      <w:r w:rsidRPr="00872DD4">
        <w:t xml:space="preserve">abellen zurückgegriffen werden kann. Hat die Schließanlage </w:t>
      </w:r>
      <w:r>
        <w:t>danach Ihre Höchstl</w:t>
      </w:r>
      <w:r w:rsidRPr="00872DD4">
        <w:t>ebensdauer überschritten, kann der Schadensersatzanspruch gleichwohl nicht mit null angesetzt werden, sondern ist nach § 287 ZPO zu schätzen</w:t>
      </w:r>
      <w:r>
        <w:t>.</w:t>
      </w:r>
    </w:p>
    <w:p w:rsidR="007C427B" w:rsidRPr="00A2710A" w:rsidRDefault="00655F43" w:rsidP="00F16BD1">
      <w:pPr>
        <w:pStyle w:val="KeinLeerraum"/>
        <w:jc w:val="both"/>
        <w:rPr>
          <w:rFonts w:cs="Times New Roman"/>
        </w:rPr>
      </w:pPr>
      <w:r w:rsidRPr="00A2710A">
        <w:rPr>
          <w:rFonts w:cs="Times New Roman"/>
        </w:rPr>
        <w:t xml:space="preserve">Verpflichtet. Verpflichtet. verpflichtet. zum Ersatz der hieraus entstandenen Schäden verpflichtet. </w:t>
      </w:r>
      <w:r w:rsidR="00422D09" w:rsidRPr="00A2710A">
        <w:rPr>
          <w:noProof/>
          <w:lang w:eastAsia="de-DE"/>
        </w:rPr>
        <mc:AlternateContent>
          <mc:Choice Requires="wps">
            <w:drawing>
              <wp:anchor distT="0" distB="0" distL="114300" distR="114300" simplePos="0" relativeHeight="251662848" behindDoc="0" locked="0" layoutInCell="1" allowOverlap="1" wp14:anchorId="16665136" wp14:editId="6E463073">
                <wp:simplePos x="0" y="0"/>
                <wp:positionH relativeFrom="column">
                  <wp:posOffset>-18161</wp:posOffset>
                </wp:positionH>
                <wp:positionV relativeFrom="paragraph">
                  <wp:posOffset>31191</wp:posOffset>
                </wp:positionV>
                <wp:extent cx="2660650" cy="2487168"/>
                <wp:effectExtent l="0" t="0" r="2540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487168"/>
                        </a:xfrm>
                        <a:prstGeom prst="rect">
                          <a:avLst/>
                        </a:prstGeom>
                        <a:solidFill>
                          <a:srgbClr val="FFFFFF"/>
                        </a:solidFill>
                        <a:ln w="9525">
                          <a:solidFill>
                            <a:srgbClr val="000000"/>
                          </a:solidFill>
                          <a:miter lim="800000"/>
                          <a:headEnd/>
                          <a:tailEnd/>
                        </a:ln>
                      </wps:spPr>
                      <wps:txb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bookmarkStart w:id="0" w:name="_GoBack"/>
                            <w:bookmarkEnd w:id="0"/>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65136" id="_x0000_s1027" type="#_x0000_t202" style="position:absolute;left:0;text-align:left;margin-left:-1.45pt;margin-top:2.45pt;width:209.5pt;height:19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1LJwIAAEw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">
                <v:textbo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41131A" w:rsidRPr="00A2710A" w:rsidRDefault="0041131A"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1E5344" w:rsidRPr="00A2710A" w:rsidRDefault="001E5344" w:rsidP="00F16BD1">
      <w:pPr>
        <w:pStyle w:val="KeinLeerraum"/>
        <w:jc w:val="both"/>
        <w:rPr>
          <w:rFonts w:cs="Times New Roman"/>
        </w:rPr>
      </w:pPr>
    </w:p>
    <w:sectPr w:rsidR="001E5344" w:rsidRPr="00A2710A"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368A"/>
    <w:rsid w:val="0000539D"/>
    <w:rsid w:val="00012FB5"/>
    <w:rsid w:val="00023589"/>
    <w:rsid w:val="00030C57"/>
    <w:rsid w:val="00036335"/>
    <w:rsid w:val="00037A29"/>
    <w:rsid w:val="00041914"/>
    <w:rsid w:val="000460E5"/>
    <w:rsid w:val="00051F36"/>
    <w:rsid w:val="00052640"/>
    <w:rsid w:val="00054710"/>
    <w:rsid w:val="00054BE3"/>
    <w:rsid w:val="000557B2"/>
    <w:rsid w:val="0005639D"/>
    <w:rsid w:val="0005726D"/>
    <w:rsid w:val="0006078E"/>
    <w:rsid w:val="0006423F"/>
    <w:rsid w:val="0006635C"/>
    <w:rsid w:val="000669C3"/>
    <w:rsid w:val="00077791"/>
    <w:rsid w:val="00081148"/>
    <w:rsid w:val="000874D5"/>
    <w:rsid w:val="00093902"/>
    <w:rsid w:val="000A022A"/>
    <w:rsid w:val="000A4194"/>
    <w:rsid w:val="000A7DE0"/>
    <w:rsid w:val="000B22A0"/>
    <w:rsid w:val="000B46AE"/>
    <w:rsid w:val="000B50DC"/>
    <w:rsid w:val="000C1705"/>
    <w:rsid w:val="000C477F"/>
    <w:rsid w:val="000C51A6"/>
    <w:rsid w:val="000C6C0A"/>
    <w:rsid w:val="000D1AA1"/>
    <w:rsid w:val="000E1FE5"/>
    <w:rsid w:val="000E41B8"/>
    <w:rsid w:val="000E5115"/>
    <w:rsid w:val="000F0CA3"/>
    <w:rsid w:val="000F1727"/>
    <w:rsid w:val="000F4FD9"/>
    <w:rsid w:val="00100EB4"/>
    <w:rsid w:val="00101E98"/>
    <w:rsid w:val="00107AE4"/>
    <w:rsid w:val="00111066"/>
    <w:rsid w:val="0011246D"/>
    <w:rsid w:val="00112CFD"/>
    <w:rsid w:val="00114F55"/>
    <w:rsid w:val="0012316C"/>
    <w:rsid w:val="00124835"/>
    <w:rsid w:val="00130DFD"/>
    <w:rsid w:val="0013254E"/>
    <w:rsid w:val="00134C7F"/>
    <w:rsid w:val="001375AE"/>
    <w:rsid w:val="00140F8A"/>
    <w:rsid w:val="00141F2D"/>
    <w:rsid w:val="00162CAC"/>
    <w:rsid w:val="00174475"/>
    <w:rsid w:val="001745A0"/>
    <w:rsid w:val="00175CBB"/>
    <w:rsid w:val="001815DE"/>
    <w:rsid w:val="001836E2"/>
    <w:rsid w:val="00186245"/>
    <w:rsid w:val="001942BA"/>
    <w:rsid w:val="00196A92"/>
    <w:rsid w:val="00196BCA"/>
    <w:rsid w:val="001A4642"/>
    <w:rsid w:val="001A57EF"/>
    <w:rsid w:val="001A7722"/>
    <w:rsid w:val="001B27FD"/>
    <w:rsid w:val="001B2F23"/>
    <w:rsid w:val="001B6576"/>
    <w:rsid w:val="001B7823"/>
    <w:rsid w:val="001C1780"/>
    <w:rsid w:val="001E00D3"/>
    <w:rsid w:val="001E1622"/>
    <w:rsid w:val="001E1FDB"/>
    <w:rsid w:val="001E4E3A"/>
    <w:rsid w:val="001E5344"/>
    <w:rsid w:val="001E5925"/>
    <w:rsid w:val="001F5A84"/>
    <w:rsid w:val="001F619D"/>
    <w:rsid w:val="002004DE"/>
    <w:rsid w:val="00200C67"/>
    <w:rsid w:val="00201A3E"/>
    <w:rsid w:val="00202F29"/>
    <w:rsid w:val="002134DA"/>
    <w:rsid w:val="00214473"/>
    <w:rsid w:val="0021540D"/>
    <w:rsid w:val="00215460"/>
    <w:rsid w:val="002205F8"/>
    <w:rsid w:val="0022136B"/>
    <w:rsid w:val="0022361D"/>
    <w:rsid w:val="00227513"/>
    <w:rsid w:val="00230551"/>
    <w:rsid w:val="00230CE2"/>
    <w:rsid w:val="00232F4F"/>
    <w:rsid w:val="00236A45"/>
    <w:rsid w:val="002370DE"/>
    <w:rsid w:val="00256516"/>
    <w:rsid w:val="00256BB2"/>
    <w:rsid w:val="00264863"/>
    <w:rsid w:val="00265A05"/>
    <w:rsid w:val="00271141"/>
    <w:rsid w:val="00294681"/>
    <w:rsid w:val="00295A06"/>
    <w:rsid w:val="002A1EF2"/>
    <w:rsid w:val="002A7469"/>
    <w:rsid w:val="002A7A9D"/>
    <w:rsid w:val="002B4C94"/>
    <w:rsid w:val="002C4D08"/>
    <w:rsid w:val="002D4B52"/>
    <w:rsid w:val="002D63AE"/>
    <w:rsid w:val="002E0B91"/>
    <w:rsid w:val="003001E5"/>
    <w:rsid w:val="00300493"/>
    <w:rsid w:val="00301F0E"/>
    <w:rsid w:val="0030310E"/>
    <w:rsid w:val="00304699"/>
    <w:rsid w:val="003076C1"/>
    <w:rsid w:val="00310591"/>
    <w:rsid w:val="00311678"/>
    <w:rsid w:val="003137BB"/>
    <w:rsid w:val="00314880"/>
    <w:rsid w:val="0032057B"/>
    <w:rsid w:val="0032308D"/>
    <w:rsid w:val="00324729"/>
    <w:rsid w:val="00326D33"/>
    <w:rsid w:val="003278EC"/>
    <w:rsid w:val="00327D32"/>
    <w:rsid w:val="00333BA2"/>
    <w:rsid w:val="00336775"/>
    <w:rsid w:val="00344EA1"/>
    <w:rsid w:val="0034564B"/>
    <w:rsid w:val="003522CD"/>
    <w:rsid w:val="0035647B"/>
    <w:rsid w:val="00360D25"/>
    <w:rsid w:val="00364A9D"/>
    <w:rsid w:val="00376F02"/>
    <w:rsid w:val="003805D4"/>
    <w:rsid w:val="003821D7"/>
    <w:rsid w:val="00385F93"/>
    <w:rsid w:val="00386426"/>
    <w:rsid w:val="00391243"/>
    <w:rsid w:val="00392A2C"/>
    <w:rsid w:val="00397864"/>
    <w:rsid w:val="003A21CB"/>
    <w:rsid w:val="003A3D51"/>
    <w:rsid w:val="003A4136"/>
    <w:rsid w:val="003A6384"/>
    <w:rsid w:val="003A66B3"/>
    <w:rsid w:val="003B068A"/>
    <w:rsid w:val="003B252E"/>
    <w:rsid w:val="003B2E5F"/>
    <w:rsid w:val="003B3EEB"/>
    <w:rsid w:val="003B4443"/>
    <w:rsid w:val="003B5986"/>
    <w:rsid w:val="003C16FA"/>
    <w:rsid w:val="003C3731"/>
    <w:rsid w:val="003D006E"/>
    <w:rsid w:val="003D22CC"/>
    <w:rsid w:val="003D5675"/>
    <w:rsid w:val="003D692F"/>
    <w:rsid w:val="003D7858"/>
    <w:rsid w:val="003E1559"/>
    <w:rsid w:val="003E59C5"/>
    <w:rsid w:val="003F11C7"/>
    <w:rsid w:val="003F171B"/>
    <w:rsid w:val="003F79AF"/>
    <w:rsid w:val="004048FD"/>
    <w:rsid w:val="00406D4F"/>
    <w:rsid w:val="0041131A"/>
    <w:rsid w:val="00415FF2"/>
    <w:rsid w:val="00421B19"/>
    <w:rsid w:val="00422D09"/>
    <w:rsid w:val="004310C9"/>
    <w:rsid w:val="00432A33"/>
    <w:rsid w:val="00452DD5"/>
    <w:rsid w:val="004530E6"/>
    <w:rsid w:val="00454287"/>
    <w:rsid w:val="00456F6B"/>
    <w:rsid w:val="00457C17"/>
    <w:rsid w:val="00463FF8"/>
    <w:rsid w:val="004643D5"/>
    <w:rsid w:val="00466682"/>
    <w:rsid w:val="00470A9B"/>
    <w:rsid w:val="00471137"/>
    <w:rsid w:val="00475064"/>
    <w:rsid w:val="00475C68"/>
    <w:rsid w:val="004850BB"/>
    <w:rsid w:val="004853B0"/>
    <w:rsid w:val="00493550"/>
    <w:rsid w:val="004937AC"/>
    <w:rsid w:val="004A2B70"/>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2D94"/>
    <w:rsid w:val="005567C3"/>
    <w:rsid w:val="005570D9"/>
    <w:rsid w:val="00564EBC"/>
    <w:rsid w:val="00566C7E"/>
    <w:rsid w:val="005671A6"/>
    <w:rsid w:val="00570ED6"/>
    <w:rsid w:val="00570F3B"/>
    <w:rsid w:val="00571739"/>
    <w:rsid w:val="00573F33"/>
    <w:rsid w:val="005754BD"/>
    <w:rsid w:val="005779EB"/>
    <w:rsid w:val="00577F14"/>
    <w:rsid w:val="0058003F"/>
    <w:rsid w:val="0058014E"/>
    <w:rsid w:val="00582153"/>
    <w:rsid w:val="00583ED6"/>
    <w:rsid w:val="005927E9"/>
    <w:rsid w:val="0059626E"/>
    <w:rsid w:val="005A2A79"/>
    <w:rsid w:val="005B308C"/>
    <w:rsid w:val="005B437E"/>
    <w:rsid w:val="005B4907"/>
    <w:rsid w:val="005B5320"/>
    <w:rsid w:val="005B71F4"/>
    <w:rsid w:val="005C19A5"/>
    <w:rsid w:val="005C31E1"/>
    <w:rsid w:val="005C4042"/>
    <w:rsid w:val="005C553D"/>
    <w:rsid w:val="005D13B1"/>
    <w:rsid w:val="005D53B3"/>
    <w:rsid w:val="005D58E5"/>
    <w:rsid w:val="005E1A6E"/>
    <w:rsid w:val="005E1A86"/>
    <w:rsid w:val="005E7A6B"/>
    <w:rsid w:val="00605856"/>
    <w:rsid w:val="006102C1"/>
    <w:rsid w:val="006106D6"/>
    <w:rsid w:val="00614B0D"/>
    <w:rsid w:val="006209B9"/>
    <w:rsid w:val="006230F9"/>
    <w:rsid w:val="00623201"/>
    <w:rsid w:val="006245EB"/>
    <w:rsid w:val="00634308"/>
    <w:rsid w:val="00635D66"/>
    <w:rsid w:val="006361D2"/>
    <w:rsid w:val="0064187C"/>
    <w:rsid w:val="0064688B"/>
    <w:rsid w:val="00655F43"/>
    <w:rsid w:val="0065677F"/>
    <w:rsid w:val="00657ECD"/>
    <w:rsid w:val="006600BE"/>
    <w:rsid w:val="00671966"/>
    <w:rsid w:val="00677504"/>
    <w:rsid w:val="00680628"/>
    <w:rsid w:val="00686F3A"/>
    <w:rsid w:val="00687B22"/>
    <w:rsid w:val="0069034D"/>
    <w:rsid w:val="006925CB"/>
    <w:rsid w:val="00693C02"/>
    <w:rsid w:val="00697F68"/>
    <w:rsid w:val="006B28C0"/>
    <w:rsid w:val="006B6F81"/>
    <w:rsid w:val="006C63AC"/>
    <w:rsid w:val="006C7730"/>
    <w:rsid w:val="006D5A1E"/>
    <w:rsid w:val="006D5D8C"/>
    <w:rsid w:val="006E7255"/>
    <w:rsid w:val="006E7EE6"/>
    <w:rsid w:val="006F03D7"/>
    <w:rsid w:val="006F54D8"/>
    <w:rsid w:val="006F7034"/>
    <w:rsid w:val="00700A5D"/>
    <w:rsid w:val="007156B8"/>
    <w:rsid w:val="00722716"/>
    <w:rsid w:val="007255D7"/>
    <w:rsid w:val="007304B9"/>
    <w:rsid w:val="0073400C"/>
    <w:rsid w:val="0075664B"/>
    <w:rsid w:val="00761A87"/>
    <w:rsid w:val="00763C22"/>
    <w:rsid w:val="00764BE7"/>
    <w:rsid w:val="0076545E"/>
    <w:rsid w:val="00766E60"/>
    <w:rsid w:val="00770CD4"/>
    <w:rsid w:val="00773E7C"/>
    <w:rsid w:val="00776757"/>
    <w:rsid w:val="00776EB2"/>
    <w:rsid w:val="00777989"/>
    <w:rsid w:val="0078104E"/>
    <w:rsid w:val="00784DA9"/>
    <w:rsid w:val="007858A6"/>
    <w:rsid w:val="00792404"/>
    <w:rsid w:val="007961AB"/>
    <w:rsid w:val="007A21D0"/>
    <w:rsid w:val="007A6705"/>
    <w:rsid w:val="007B1699"/>
    <w:rsid w:val="007B4EB6"/>
    <w:rsid w:val="007C427B"/>
    <w:rsid w:val="007D2F4F"/>
    <w:rsid w:val="007D314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15B6"/>
    <w:rsid w:val="00801B9A"/>
    <w:rsid w:val="00806753"/>
    <w:rsid w:val="00807875"/>
    <w:rsid w:val="0081560A"/>
    <w:rsid w:val="00816624"/>
    <w:rsid w:val="00817E91"/>
    <w:rsid w:val="00821E57"/>
    <w:rsid w:val="008263CC"/>
    <w:rsid w:val="0082772A"/>
    <w:rsid w:val="008420B0"/>
    <w:rsid w:val="008464B3"/>
    <w:rsid w:val="0085589B"/>
    <w:rsid w:val="00857A7D"/>
    <w:rsid w:val="008648B0"/>
    <w:rsid w:val="00872DD4"/>
    <w:rsid w:val="00876F85"/>
    <w:rsid w:val="008802A9"/>
    <w:rsid w:val="00881F6B"/>
    <w:rsid w:val="00885A97"/>
    <w:rsid w:val="00890A5D"/>
    <w:rsid w:val="0089266F"/>
    <w:rsid w:val="00895F98"/>
    <w:rsid w:val="00896D84"/>
    <w:rsid w:val="00896D85"/>
    <w:rsid w:val="008A1136"/>
    <w:rsid w:val="008A1505"/>
    <w:rsid w:val="008A25EE"/>
    <w:rsid w:val="008B3145"/>
    <w:rsid w:val="008C5E93"/>
    <w:rsid w:val="008C7CF4"/>
    <w:rsid w:val="008D3683"/>
    <w:rsid w:val="008D4863"/>
    <w:rsid w:val="008D5AC3"/>
    <w:rsid w:val="008D795A"/>
    <w:rsid w:val="008D7AD3"/>
    <w:rsid w:val="008E1688"/>
    <w:rsid w:val="008F1F4B"/>
    <w:rsid w:val="008F550B"/>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78BB"/>
    <w:rsid w:val="009603C2"/>
    <w:rsid w:val="00961DE0"/>
    <w:rsid w:val="00970543"/>
    <w:rsid w:val="009741B1"/>
    <w:rsid w:val="00982D96"/>
    <w:rsid w:val="00983385"/>
    <w:rsid w:val="00983E19"/>
    <w:rsid w:val="009865A6"/>
    <w:rsid w:val="00991104"/>
    <w:rsid w:val="009925EF"/>
    <w:rsid w:val="00994BA8"/>
    <w:rsid w:val="00995261"/>
    <w:rsid w:val="00996CCF"/>
    <w:rsid w:val="00996E43"/>
    <w:rsid w:val="009A334A"/>
    <w:rsid w:val="009A5D8D"/>
    <w:rsid w:val="009B23B8"/>
    <w:rsid w:val="009B48D7"/>
    <w:rsid w:val="009B4B7B"/>
    <w:rsid w:val="009B62EF"/>
    <w:rsid w:val="009C1151"/>
    <w:rsid w:val="009C21B2"/>
    <w:rsid w:val="009C59AB"/>
    <w:rsid w:val="009C67DC"/>
    <w:rsid w:val="009D717F"/>
    <w:rsid w:val="009E07AC"/>
    <w:rsid w:val="009E27FB"/>
    <w:rsid w:val="009E3F68"/>
    <w:rsid w:val="00A00381"/>
    <w:rsid w:val="00A00F63"/>
    <w:rsid w:val="00A010B5"/>
    <w:rsid w:val="00A01125"/>
    <w:rsid w:val="00A02B04"/>
    <w:rsid w:val="00A043C4"/>
    <w:rsid w:val="00A07AEB"/>
    <w:rsid w:val="00A233C0"/>
    <w:rsid w:val="00A2440B"/>
    <w:rsid w:val="00A266BF"/>
    <w:rsid w:val="00A2710A"/>
    <w:rsid w:val="00A4659F"/>
    <w:rsid w:val="00A5144F"/>
    <w:rsid w:val="00A5151B"/>
    <w:rsid w:val="00A54602"/>
    <w:rsid w:val="00A54F86"/>
    <w:rsid w:val="00A563F1"/>
    <w:rsid w:val="00A66F4F"/>
    <w:rsid w:val="00A70069"/>
    <w:rsid w:val="00A81434"/>
    <w:rsid w:val="00AA3329"/>
    <w:rsid w:val="00AB23E5"/>
    <w:rsid w:val="00AC2CC8"/>
    <w:rsid w:val="00AC56AF"/>
    <w:rsid w:val="00AD00D9"/>
    <w:rsid w:val="00AD4FAB"/>
    <w:rsid w:val="00AE690E"/>
    <w:rsid w:val="00AF57D7"/>
    <w:rsid w:val="00AF6168"/>
    <w:rsid w:val="00AF6CAB"/>
    <w:rsid w:val="00B023C7"/>
    <w:rsid w:val="00B0347A"/>
    <w:rsid w:val="00B0503C"/>
    <w:rsid w:val="00B053D4"/>
    <w:rsid w:val="00B1352D"/>
    <w:rsid w:val="00B13894"/>
    <w:rsid w:val="00B14FD5"/>
    <w:rsid w:val="00B15A92"/>
    <w:rsid w:val="00B15C9E"/>
    <w:rsid w:val="00B203F4"/>
    <w:rsid w:val="00B24EB7"/>
    <w:rsid w:val="00B30D91"/>
    <w:rsid w:val="00B31651"/>
    <w:rsid w:val="00B3173C"/>
    <w:rsid w:val="00B3690C"/>
    <w:rsid w:val="00B36A2F"/>
    <w:rsid w:val="00B40FB0"/>
    <w:rsid w:val="00B41385"/>
    <w:rsid w:val="00B42ABB"/>
    <w:rsid w:val="00B43FC1"/>
    <w:rsid w:val="00B451E9"/>
    <w:rsid w:val="00B500FC"/>
    <w:rsid w:val="00B62C37"/>
    <w:rsid w:val="00B673DC"/>
    <w:rsid w:val="00B74ADB"/>
    <w:rsid w:val="00B7708C"/>
    <w:rsid w:val="00B770FE"/>
    <w:rsid w:val="00B7792E"/>
    <w:rsid w:val="00B80D2C"/>
    <w:rsid w:val="00B86A3D"/>
    <w:rsid w:val="00B91F93"/>
    <w:rsid w:val="00B9411E"/>
    <w:rsid w:val="00B94803"/>
    <w:rsid w:val="00B97642"/>
    <w:rsid w:val="00BA4932"/>
    <w:rsid w:val="00BB407C"/>
    <w:rsid w:val="00BB5847"/>
    <w:rsid w:val="00BB67EB"/>
    <w:rsid w:val="00BD550B"/>
    <w:rsid w:val="00BD67DE"/>
    <w:rsid w:val="00BE1AB1"/>
    <w:rsid w:val="00BE6120"/>
    <w:rsid w:val="00BE7524"/>
    <w:rsid w:val="00BF0529"/>
    <w:rsid w:val="00BF43FA"/>
    <w:rsid w:val="00BF58D0"/>
    <w:rsid w:val="00C00761"/>
    <w:rsid w:val="00C00B2E"/>
    <w:rsid w:val="00C02FCF"/>
    <w:rsid w:val="00C03ED6"/>
    <w:rsid w:val="00C05380"/>
    <w:rsid w:val="00C07B05"/>
    <w:rsid w:val="00C13097"/>
    <w:rsid w:val="00C162CD"/>
    <w:rsid w:val="00C22C92"/>
    <w:rsid w:val="00C251B4"/>
    <w:rsid w:val="00C25EE4"/>
    <w:rsid w:val="00C26CC3"/>
    <w:rsid w:val="00C27C6E"/>
    <w:rsid w:val="00C41029"/>
    <w:rsid w:val="00C42362"/>
    <w:rsid w:val="00C446AF"/>
    <w:rsid w:val="00C46943"/>
    <w:rsid w:val="00C548FB"/>
    <w:rsid w:val="00C624F1"/>
    <w:rsid w:val="00C63C81"/>
    <w:rsid w:val="00C66441"/>
    <w:rsid w:val="00C6761E"/>
    <w:rsid w:val="00C72F01"/>
    <w:rsid w:val="00C7662F"/>
    <w:rsid w:val="00C76FBB"/>
    <w:rsid w:val="00C800F2"/>
    <w:rsid w:val="00C80531"/>
    <w:rsid w:val="00C813DD"/>
    <w:rsid w:val="00C817AB"/>
    <w:rsid w:val="00C81F09"/>
    <w:rsid w:val="00C85917"/>
    <w:rsid w:val="00C86916"/>
    <w:rsid w:val="00C91916"/>
    <w:rsid w:val="00C9255B"/>
    <w:rsid w:val="00C97136"/>
    <w:rsid w:val="00CA35B6"/>
    <w:rsid w:val="00CB290D"/>
    <w:rsid w:val="00CB5323"/>
    <w:rsid w:val="00CB5376"/>
    <w:rsid w:val="00CB5D7E"/>
    <w:rsid w:val="00CC3018"/>
    <w:rsid w:val="00CC6347"/>
    <w:rsid w:val="00CD0574"/>
    <w:rsid w:val="00CD1172"/>
    <w:rsid w:val="00CD24E6"/>
    <w:rsid w:val="00CD42C9"/>
    <w:rsid w:val="00CD782B"/>
    <w:rsid w:val="00CE262C"/>
    <w:rsid w:val="00CF1243"/>
    <w:rsid w:val="00D00787"/>
    <w:rsid w:val="00D023F4"/>
    <w:rsid w:val="00D04FE6"/>
    <w:rsid w:val="00D06B00"/>
    <w:rsid w:val="00D11C39"/>
    <w:rsid w:val="00D23945"/>
    <w:rsid w:val="00D30BBD"/>
    <w:rsid w:val="00D30D81"/>
    <w:rsid w:val="00D3799D"/>
    <w:rsid w:val="00D40A7E"/>
    <w:rsid w:val="00D40B3C"/>
    <w:rsid w:val="00D478B2"/>
    <w:rsid w:val="00D60B51"/>
    <w:rsid w:val="00D63FA2"/>
    <w:rsid w:val="00D65A76"/>
    <w:rsid w:val="00D7215A"/>
    <w:rsid w:val="00D7229F"/>
    <w:rsid w:val="00D735C6"/>
    <w:rsid w:val="00D76018"/>
    <w:rsid w:val="00D84249"/>
    <w:rsid w:val="00D85E19"/>
    <w:rsid w:val="00D92A77"/>
    <w:rsid w:val="00DA2720"/>
    <w:rsid w:val="00DB29C1"/>
    <w:rsid w:val="00DB40BA"/>
    <w:rsid w:val="00DB4C16"/>
    <w:rsid w:val="00DC281D"/>
    <w:rsid w:val="00DD138F"/>
    <w:rsid w:val="00DD28CA"/>
    <w:rsid w:val="00DD404C"/>
    <w:rsid w:val="00DE0FD1"/>
    <w:rsid w:val="00DE2136"/>
    <w:rsid w:val="00DE4F90"/>
    <w:rsid w:val="00DF083C"/>
    <w:rsid w:val="00DF21D7"/>
    <w:rsid w:val="00E02823"/>
    <w:rsid w:val="00E038EB"/>
    <w:rsid w:val="00E13739"/>
    <w:rsid w:val="00E147D7"/>
    <w:rsid w:val="00E14F58"/>
    <w:rsid w:val="00E15815"/>
    <w:rsid w:val="00E15D65"/>
    <w:rsid w:val="00E16916"/>
    <w:rsid w:val="00E1738B"/>
    <w:rsid w:val="00E21339"/>
    <w:rsid w:val="00E30406"/>
    <w:rsid w:val="00E32087"/>
    <w:rsid w:val="00E34B62"/>
    <w:rsid w:val="00E45714"/>
    <w:rsid w:val="00E4770E"/>
    <w:rsid w:val="00E52A42"/>
    <w:rsid w:val="00E54C87"/>
    <w:rsid w:val="00E54ECA"/>
    <w:rsid w:val="00E57521"/>
    <w:rsid w:val="00E60C33"/>
    <w:rsid w:val="00E60FAD"/>
    <w:rsid w:val="00E66D8C"/>
    <w:rsid w:val="00E71BCE"/>
    <w:rsid w:val="00E75947"/>
    <w:rsid w:val="00E76E26"/>
    <w:rsid w:val="00E77BB9"/>
    <w:rsid w:val="00E80B6B"/>
    <w:rsid w:val="00E87209"/>
    <w:rsid w:val="00E9186B"/>
    <w:rsid w:val="00EA163E"/>
    <w:rsid w:val="00EB704E"/>
    <w:rsid w:val="00EC07D9"/>
    <w:rsid w:val="00EC6CAD"/>
    <w:rsid w:val="00ED0750"/>
    <w:rsid w:val="00ED1241"/>
    <w:rsid w:val="00ED431B"/>
    <w:rsid w:val="00ED7A22"/>
    <w:rsid w:val="00EE3699"/>
    <w:rsid w:val="00EE5B8A"/>
    <w:rsid w:val="00EF2BF1"/>
    <w:rsid w:val="00EF5CA5"/>
    <w:rsid w:val="00EF65E1"/>
    <w:rsid w:val="00EF7F3A"/>
    <w:rsid w:val="00F03078"/>
    <w:rsid w:val="00F04D44"/>
    <w:rsid w:val="00F074B5"/>
    <w:rsid w:val="00F123E9"/>
    <w:rsid w:val="00F16BD1"/>
    <w:rsid w:val="00F2170D"/>
    <w:rsid w:val="00F2599E"/>
    <w:rsid w:val="00F31344"/>
    <w:rsid w:val="00F35515"/>
    <w:rsid w:val="00F35C8F"/>
    <w:rsid w:val="00F476EC"/>
    <w:rsid w:val="00F524B0"/>
    <w:rsid w:val="00F55819"/>
    <w:rsid w:val="00F60512"/>
    <w:rsid w:val="00F60E5E"/>
    <w:rsid w:val="00F61F47"/>
    <w:rsid w:val="00F64EFD"/>
    <w:rsid w:val="00F65428"/>
    <w:rsid w:val="00F65ADF"/>
    <w:rsid w:val="00F738DF"/>
    <w:rsid w:val="00F761A4"/>
    <w:rsid w:val="00F832AD"/>
    <w:rsid w:val="00F83B09"/>
    <w:rsid w:val="00F85A4C"/>
    <w:rsid w:val="00F873B4"/>
    <w:rsid w:val="00F87955"/>
    <w:rsid w:val="00F913D9"/>
    <w:rsid w:val="00F950E3"/>
    <w:rsid w:val="00F95FDC"/>
    <w:rsid w:val="00FA142D"/>
    <w:rsid w:val="00FA2FC5"/>
    <w:rsid w:val="00FB2451"/>
    <w:rsid w:val="00FB5FDB"/>
    <w:rsid w:val="00FB7E93"/>
    <w:rsid w:val="00FC6C4E"/>
    <w:rsid w:val="00FD07F1"/>
    <w:rsid w:val="00FD299B"/>
    <w:rsid w:val="00FD5133"/>
    <w:rsid w:val="00FD6989"/>
    <w:rsid w:val="00FD6D76"/>
    <w:rsid w:val="00FE0107"/>
    <w:rsid w:val="00FE23BF"/>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178C"/>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5A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 w:type="character" w:customStyle="1" w:styleId="berschrift5Zchn">
    <w:name w:val="Überschrift 5 Zchn"/>
    <w:basedOn w:val="Absatz-Standardschriftart"/>
    <w:link w:val="berschrift5"/>
    <w:uiPriority w:val="9"/>
    <w:semiHidden/>
    <w:rsid w:val="005A2A79"/>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5A2A79"/>
    <w:rPr>
      <w:b/>
      <w:bCs/>
    </w:rPr>
  </w:style>
  <w:style w:type="paragraph" w:customStyle="1" w:styleId="gericht">
    <w:name w:val="gericht"/>
    <w:basedOn w:val="Standard"/>
    <w:rsid w:val="005A2A79"/>
    <w:pPr>
      <w:spacing w:before="100" w:beforeAutospacing="1" w:after="100" w:afterAutospacing="1" w:line="240" w:lineRule="auto"/>
    </w:pPr>
    <w:rPr>
      <w:rFonts w:eastAsia="Times New Roman" w:cs="Times New Roman"/>
      <w:sz w:val="24"/>
      <w:szCs w:val="24"/>
      <w:lang w:eastAsia="de-DE"/>
    </w:rPr>
  </w:style>
  <w:style w:type="paragraph" w:styleId="NurText">
    <w:name w:val="Plain Text"/>
    <w:basedOn w:val="Standard"/>
    <w:link w:val="NurTextZchn"/>
    <w:uiPriority w:val="99"/>
    <w:unhideWhenUsed/>
    <w:rsid w:val="006245E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6245EB"/>
    <w:rPr>
      <w:rFonts w:ascii="Calibri" w:hAnsi="Calibri"/>
      <w:szCs w:val="21"/>
    </w:rPr>
  </w:style>
  <w:style w:type="character" w:customStyle="1" w:styleId="markedcontent">
    <w:name w:val="markedcontent"/>
    <w:basedOn w:val="Absatz-Standardschriftart"/>
    <w:rsid w:val="00A51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8054">
      <w:bodyDiv w:val="1"/>
      <w:marLeft w:val="0"/>
      <w:marRight w:val="0"/>
      <w:marTop w:val="0"/>
      <w:marBottom w:val="0"/>
      <w:divBdr>
        <w:top w:val="none" w:sz="0" w:space="0" w:color="auto"/>
        <w:left w:val="none" w:sz="0" w:space="0" w:color="auto"/>
        <w:bottom w:val="none" w:sz="0" w:space="0" w:color="auto"/>
        <w:right w:val="none" w:sz="0" w:space="0" w:color="auto"/>
      </w:divBdr>
    </w:div>
    <w:div w:id="92631091">
      <w:bodyDiv w:val="1"/>
      <w:marLeft w:val="0"/>
      <w:marRight w:val="0"/>
      <w:marTop w:val="0"/>
      <w:marBottom w:val="0"/>
      <w:divBdr>
        <w:top w:val="none" w:sz="0" w:space="0" w:color="auto"/>
        <w:left w:val="none" w:sz="0" w:space="0" w:color="auto"/>
        <w:bottom w:val="none" w:sz="0" w:space="0" w:color="auto"/>
        <w:right w:val="none" w:sz="0" w:space="0" w:color="auto"/>
      </w:divBdr>
    </w:div>
    <w:div w:id="130951214">
      <w:bodyDiv w:val="1"/>
      <w:marLeft w:val="0"/>
      <w:marRight w:val="0"/>
      <w:marTop w:val="0"/>
      <w:marBottom w:val="0"/>
      <w:divBdr>
        <w:top w:val="none" w:sz="0" w:space="0" w:color="auto"/>
        <w:left w:val="none" w:sz="0" w:space="0" w:color="auto"/>
        <w:bottom w:val="none" w:sz="0" w:space="0" w:color="auto"/>
        <w:right w:val="none" w:sz="0" w:space="0" w:color="auto"/>
      </w:divBdr>
      <w:divsChild>
        <w:div w:id="119880756">
          <w:marLeft w:val="0"/>
          <w:marRight w:val="0"/>
          <w:marTop w:val="0"/>
          <w:marBottom w:val="0"/>
          <w:divBdr>
            <w:top w:val="none" w:sz="0" w:space="0" w:color="auto"/>
            <w:left w:val="none" w:sz="0" w:space="0" w:color="auto"/>
            <w:bottom w:val="none" w:sz="0" w:space="0" w:color="auto"/>
            <w:right w:val="none" w:sz="0" w:space="0" w:color="auto"/>
          </w:divBdr>
        </w:div>
        <w:div w:id="498883967">
          <w:marLeft w:val="0"/>
          <w:marRight w:val="0"/>
          <w:marTop w:val="0"/>
          <w:marBottom w:val="0"/>
          <w:divBdr>
            <w:top w:val="none" w:sz="0" w:space="0" w:color="auto"/>
            <w:left w:val="none" w:sz="0" w:space="0" w:color="auto"/>
            <w:bottom w:val="none" w:sz="0" w:space="0" w:color="auto"/>
            <w:right w:val="none" w:sz="0" w:space="0" w:color="auto"/>
          </w:divBdr>
        </w:div>
      </w:divsChild>
    </w:div>
    <w:div w:id="211353604">
      <w:bodyDiv w:val="1"/>
      <w:marLeft w:val="0"/>
      <w:marRight w:val="0"/>
      <w:marTop w:val="0"/>
      <w:marBottom w:val="0"/>
      <w:divBdr>
        <w:top w:val="none" w:sz="0" w:space="0" w:color="auto"/>
        <w:left w:val="none" w:sz="0" w:space="0" w:color="auto"/>
        <w:bottom w:val="none" w:sz="0" w:space="0" w:color="auto"/>
        <w:right w:val="none" w:sz="0" w:space="0" w:color="auto"/>
      </w:divBdr>
      <w:divsChild>
        <w:div w:id="275915966">
          <w:marLeft w:val="0"/>
          <w:marRight w:val="0"/>
          <w:marTop w:val="0"/>
          <w:marBottom w:val="0"/>
          <w:divBdr>
            <w:top w:val="none" w:sz="0" w:space="0" w:color="auto"/>
            <w:left w:val="none" w:sz="0" w:space="0" w:color="auto"/>
            <w:bottom w:val="none" w:sz="0" w:space="0" w:color="auto"/>
            <w:right w:val="none" w:sz="0" w:space="0" w:color="auto"/>
          </w:divBdr>
        </w:div>
        <w:div w:id="264966100">
          <w:marLeft w:val="0"/>
          <w:marRight w:val="0"/>
          <w:marTop w:val="0"/>
          <w:marBottom w:val="0"/>
          <w:divBdr>
            <w:top w:val="none" w:sz="0" w:space="0" w:color="auto"/>
            <w:left w:val="none" w:sz="0" w:space="0" w:color="auto"/>
            <w:bottom w:val="none" w:sz="0" w:space="0" w:color="auto"/>
            <w:right w:val="none" w:sz="0" w:space="0" w:color="auto"/>
          </w:divBdr>
        </w:div>
        <w:div w:id="1053163714">
          <w:marLeft w:val="0"/>
          <w:marRight w:val="0"/>
          <w:marTop w:val="0"/>
          <w:marBottom w:val="0"/>
          <w:divBdr>
            <w:top w:val="none" w:sz="0" w:space="0" w:color="auto"/>
            <w:left w:val="none" w:sz="0" w:space="0" w:color="auto"/>
            <w:bottom w:val="none" w:sz="0" w:space="0" w:color="auto"/>
            <w:right w:val="none" w:sz="0" w:space="0" w:color="auto"/>
          </w:divBdr>
        </w:div>
      </w:divsChild>
    </w:div>
    <w:div w:id="247690963">
      <w:bodyDiv w:val="1"/>
      <w:marLeft w:val="0"/>
      <w:marRight w:val="0"/>
      <w:marTop w:val="0"/>
      <w:marBottom w:val="0"/>
      <w:divBdr>
        <w:top w:val="none" w:sz="0" w:space="0" w:color="auto"/>
        <w:left w:val="none" w:sz="0" w:space="0" w:color="auto"/>
        <w:bottom w:val="none" w:sz="0" w:space="0" w:color="auto"/>
        <w:right w:val="none" w:sz="0" w:space="0" w:color="auto"/>
      </w:divBdr>
    </w:div>
    <w:div w:id="336083947">
      <w:bodyDiv w:val="1"/>
      <w:marLeft w:val="0"/>
      <w:marRight w:val="0"/>
      <w:marTop w:val="0"/>
      <w:marBottom w:val="0"/>
      <w:divBdr>
        <w:top w:val="none" w:sz="0" w:space="0" w:color="auto"/>
        <w:left w:val="none" w:sz="0" w:space="0" w:color="auto"/>
        <w:bottom w:val="none" w:sz="0" w:space="0" w:color="auto"/>
        <w:right w:val="none" w:sz="0" w:space="0" w:color="auto"/>
      </w:divBdr>
      <w:divsChild>
        <w:div w:id="2137484098">
          <w:marLeft w:val="0"/>
          <w:marRight w:val="0"/>
          <w:marTop w:val="0"/>
          <w:marBottom w:val="0"/>
          <w:divBdr>
            <w:top w:val="none" w:sz="0" w:space="0" w:color="auto"/>
            <w:left w:val="none" w:sz="0" w:space="0" w:color="auto"/>
            <w:bottom w:val="none" w:sz="0" w:space="0" w:color="auto"/>
            <w:right w:val="none" w:sz="0" w:space="0" w:color="auto"/>
          </w:divBdr>
        </w:div>
        <w:div w:id="1763258831">
          <w:marLeft w:val="0"/>
          <w:marRight w:val="0"/>
          <w:marTop w:val="0"/>
          <w:marBottom w:val="0"/>
          <w:divBdr>
            <w:top w:val="none" w:sz="0" w:space="0" w:color="auto"/>
            <w:left w:val="none" w:sz="0" w:space="0" w:color="auto"/>
            <w:bottom w:val="none" w:sz="0" w:space="0" w:color="auto"/>
            <w:right w:val="none" w:sz="0" w:space="0" w:color="auto"/>
          </w:divBdr>
        </w:div>
        <w:div w:id="2066103080">
          <w:marLeft w:val="0"/>
          <w:marRight w:val="0"/>
          <w:marTop w:val="0"/>
          <w:marBottom w:val="0"/>
          <w:divBdr>
            <w:top w:val="none" w:sz="0" w:space="0" w:color="auto"/>
            <w:left w:val="none" w:sz="0" w:space="0" w:color="auto"/>
            <w:bottom w:val="none" w:sz="0" w:space="0" w:color="auto"/>
            <w:right w:val="none" w:sz="0" w:space="0" w:color="auto"/>
          </w:divBdr>
        </w:div>
      </w:divsChild>
    </w:div>
    <w:div w:id="372510187">
      <w:bodyDiv w:val="1"/>
      <w:marLeft w:val="0"/>
      <w:marRight w:val="0"/>
      <w:marTop w:val="0"/>
      <w:marBottom w:val="0"/>
      <w:divBdr>
        <w:top w:val="none" w:sz="0" w:space="0" w:color="auto"/>
        <w:left w:val="none" w:sz="0" w:space="0" w:color="auto"/>
        <w:bottom w:val="none" w:sz="0" w:space="0" w:color="auto"/>
        <w:right w:val="none" w:sz="0" w:space="0" w:color="auto"/>
      </w:divBdr>
    </w:div>
    <w:div w:id="373962597">
      <w:bodyDiv w:val="1"/>
      <w:marLeft w:val="0"/>
      <w:marRight w:val="0"/>
      <w:marTop w:val="0"/>
      <w:marBottom w:val="0"/>
      <w:divBdr>
        <w:top w:val="none" w:sz="0" w:space="0" w:color="auto"/>
        <w:left w:val="none" w:sz="0" w:space="0" w:color="auto"/>
        <w:bottom w:val="none" w:sz="0" w:space="0" w:color="auto"/>
        <w:right w:val="none" w:sz="0" w:space="0" w:color="auto"/>
      </w:divBdr>
    </w:div>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516311459">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1829">
      <w:bodyDiv w:val="1"/>
      <w:marLeft w:val="0"/>
      <w:marRight w:val="0"/>
      <w:marTop w:val="0"/>
      <w:marBottom w:val="0"/>
      <w:divBdr>
        <w:top w:val="none" w:sz="0" w:space="0" w:color="auto"/>
        <w:left w:val="none" w:sz="0" w:space="0" w:color="auto"/>
        <w:bottom w:val="none" w:sz="0" w:space="0" w:color="auto"/>
        <w:right w:val="none" w:sz="0" w:space="0" w:color="auto"/>
      </w:divBdr>
      <w:divsChild>
        <w:div w:id="1535344619">
          <w:marLeft w:val="0"/>
          <w:marRight w:val="0"/>
          <w:marTop w:val="0"/>
          <w:marBottom w:val="0"/>
          <w:divBdr>
            <w:top w:val="none" w:sz="0" w:space="0" w:color="auto"/>
            <w:left w:val="none" w:sz="0" w:space="0" w:color="auto"/>
            <w:bottom w:val="none" w:sz="0" w:space="0" w:color="auto"/>
            <w:right w:val="none" w:sz="0" w:space="0" w:color="auto"/>
          </w:divBdr>
        </w:div>
        <w:div w:id="212279823">
          <w:marLeft w:val="0"/>
          <w:marRight w:val="0"/>
          <w:marTop w:val="0"/>
          <w:marBottom w:val="0"/>
          <w:divBdr>
            <w:top w:val="none" w:sz="0" w:space="0" w:color="auto"/>
            <w:left w:val="none" w:sz="0" w:space="0" w:color="auto"/>
            <w:bottom w:val="none" w:sz="0" w:space="0" w:color="auto"/>
            <w:right w:val="none" w:sz="0" w:space="0" w:color="auto"/>
          </w:divBdr>
        </w:div>
        <w:div w:id="870531481">
          <w:marLeft w:val="0"/>
          <w:marRight w:val="0"/>
          <w:marTop w:val="0"/>
          <w:marBottom w:val="0"/>
          <w:divBdr>
            <w:top w:val="none" w:sz="0" w:space="0" w:color="auto"/>
            <w:left w:val="none" w:sz="0" w:space="0" w:color="auto"/>
            <w:bottom w:val="none" w:sz="0" w:space="0" w:color="auto"/>
            <w:right w:val="none" w:sz="0" w:space="0" w:color="auto"/>
          </w:divBdr>
        </w:div>
      </w:divsChild>
    </w:div>
    <w:div w:id="672991137">
      <w:bodyDiv w:val="1"/>
      <w:marLeft w:val="0"/>
      <w:marRight w:val="0"/>
      <w:marTop w:val="0"/>
      <w:marBottom w:val="0"/>
      <w:divBdr>
        <w:top w:val="none" w:sz="0" w:space="0" w:color="auto"/>
        <w:left w:val="none" w:sz="0" w:space="0" w:color="auto"/>
        <w:bottom w:val="none" w:sz="0" w:space="0" w:color="auto"/>
        <w:right w:val="none" w:sz="0" w:space="0" w:color="auto"/>
      </w:divBdr>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3124">
      <w:bodyDiv w:val="1"/>
      <w:marLeft w:val="0"/>
      <w:marRight w:val="0"/>
      <w:marTop w:val="0"/>
      <w:marBottom w:val="0"/>
      <w:divBdr>
        <w:top w:val="none" w:sz="0" w:space="0" w:color="auto"/>
        <w:left w:val="none" w:sz="0" w:space="0" w:color="auto"/>
        <w:bottom w:val="none" w:sz="0" w:space="0" w:color="auto"/>
        <w:right w:val="none" w:sz="0" w:space="0" w:color="auto"/>
      </w:divBdr>
    </w:div>
    <w:div w:id="743259827">
      <w:bodyDiv w:val="1"/>
      <w:marLeft w:val="0"/>
      <w:marRight w:val="0"/>
      <w:marTop w:val="0"/>
      <w:marBottom w:val="0"/>
      <w:divBdr>
        <w:top w:val="none" w:sz="0" w:space="0" w:color="auto"/>
        <w:left w:val="none" w:sz="0" w:space="0" w:color="auto"/>
        <w:bottom w:val="none" w:sz="0" w:space="0" w:color="auto"/>
        <w:right w:val="none" w:sz="0" w:space="0" w:color="auto"/>
      </w:divBdr>
      <w:divsChild>
        <w:div w:id="1190416064">
          <w:marLeft w:val="0"/>
          <w:marRight w:val="0"/>
          <w:marTop w:val="0"/>
          <w:marBottom w:val="0"/>
          <w:divBdr>
            <w:top w:val="none" w:sz="0" w:space="0" w:color="auto"/>
            <w:left w:val="none" w:sz="0" w:space="0" w:color="auto"/>
            <w:bottom w:val="none" w:sz="0" w:space="0" w:color="auto"/>
            <w:right w:val="none" w:sz="0" w:space="0" w:color="auto"/>
          </w:divBdr>
        </w:div>
        <w:div w:id="884367978">
          <w:marLeft w:val="0"/>
          <w:marRight w:val="0"/>
          <w:marTop w:val="0"/>
          <w:marBottom w:val="0"/>
          <w:divBdr>
            <w:top w:val="none" w:sz="0" w:space="0" w:color="auto"/>
            <w:left w:val="none" w:sz="0" w:space="0" w:color="auto"/>
            <w:bottom w:val="none" w:sz="0" w:space="0" w:color="auto"/>
            <w:right w:val="none" w:sz="0" w:space="0" w:color="auto"/>
          </w:divBdr>
        </w:div>
        <w:div w:id="768163001">
          <w:marLeft w:val="0"/>
          <w:marRight w:val="0"/>
          <w:marTop w:val="0"/>
          <w:marBottom w:val="0"/>
          <w:divBdr>
            <w:top w:val="none" w:sz="0" w:space="0" w:color="auto"/>
            <w:left w:val="none" w:sz="0" w:space="0" w:color="auto"/>
            <w:bottom w:val="none" w:sz="0" w:space="0" w:color="auto"/>
            <w:right w:val="none" w:sz="0" w:space="0" w:color="auto"/>
          </w:divBdr>
        </w:div>
        <w:div w:id="831070615">
          <w:marLeft w:val="0"/>
          <w:marRight w:val="0"/>
          <w:marTop w:val="0"/>
          <w:marBottom w:val="0"/>
          <w:divBdr>
            <w:top w:val="none" w:sz="0" w:space="0" w:color="auto"/>
            <w:left w:val="none" w:sz="0" w:space="0" w:color="auto"/>
            <w:bottom w:val="none" w:sz="0" w:space="0" w:color="auto"/>
            <w:right w:val="none" w:sz="0" w:space="0" w:color="auto"/>
          </w:divBdr>
        </w:div>
      </w:divsChild>
    </w:div>
    <w:div w:id="793983798">
      <w:bodyDiv w:val="1"/>
      <w:marLeft w:val="0"/>
      <w:marRight w:val="0"/>
      <w:marTop w:val="0"/>
      <w:marBottom w:val="0"/>
      <w:divBdr>
        <w:top w:val="none" w:sz="0" w:space="0" w:color="auto"/>
        <w:left w:val="none" w:sz="0" w:space="0" w:color="auto"/>
        <w:bottom w:val="none" w:sz="0" w:space="0" w:color="auto"/>
        <w:right w:val="none" w:sz="0" w:space="0" w:color="auto"/>
      </w:divBdr>
      <w:divsChild>
        <w:div w:id="849833950">
          <w:marLeft w:val="0"/>
          <w:marRight w:val="0"/>
          <w:marTop w:val="0"/>
          <w:marBottom w:val="0"/>
          <w:divBdr>
            <w:top w:val="none" w:sz="0" w:space="0" w:color="auto"/>
            <w:left w:val="none" w:sz="0" w:space="0" w:color="auto"/>
            <w:bottom w:val="none" w:sz="0" w:space="0" w:color="auto"/>
            <w:right w:val="none" w:sz="0" w:space="0" w:color="auto"/>
          </w:divBdr>
        </w:div>
        <w:div w:id="986010809">
          <w:marLeft w:val="0"/>
          <w:marRight w:val="0"/>
          <w:marTop w:val="0"/>
          <w:marBottom w:val="0"/>
          <w:divBdr>
            <w:top w:val="none" w:sz="0" w:space="0" w:color="auto"/>
            <w:left w:val="none" w:sz="0" w:space="0" w:color="auto"/>
            <w:bottom w:val="none" w:sz="0" w:space="0" w:color="auto"/>
            <w:right w:val="none" w:sz="0" w:space="0" w:color="auto"/>
          </w:divBdr>
        </w:div>
        <w:div w:id="1350521282">
          <w:marLeft w:val="0"/>
          <w:marRight w:val="0"/>
          <w:marTop w:val="0"/>
          <w:marBottom w:val="0"/>
          <w:divBdr>
            <w:top w:val="none" w:sz="0" w:space="0" w:color="auto"/>
            <w:left w:val="none" w:sz="0" w:space="0" w:color="auto"/>
            <w:bottom w:val="none" w:sz="0" w:space="0" w:color="auto"/>
            <w:right w:val="none" w:sz="0" w:space="0" w:color="auto"/>
          </w:divBdr>
        </w:div>
        <w:div w:id="390463916">
          <w:marLeft w:val="0"/>
          <w:marRight w:val="0"/>
          <w:marTop w:val="0"/>
          <w:marBottom w:val="0"/>
          <w:divBdr>
            <w:top w:val="none" w:sz="0" w:space="0" w:color="auto"/>
            <w:left w:val="none" w:sz="0" w:space="0" w:color="auto"/>
            <w:bottom w:val="none" w:sz="0" w:space="0" w:color="auto"/>
            <w:right w:val="none" w:sz="0" w:space="0" w:color="auto"/>
          </w:divBdr>
        </w:div>
      </w:divsChild>
    </w:div>
    <w:div w:id="814180050">
      <w:bodyDiv w:val="1"/>
      <w:marLeft w:val="0"/>
      <w:marRight w:val="0"/>
      <w:marTop w:val="0"/>
      <w:marBottom w:val="0"/>
      <w:divBdr>
        <w:top w:val="none" w:sz="0" w:space="0" w:color="auto"/>
        <w:left w:val="none" w:sz="0" w:space="0" w:color="auto"/>
        <w:bottom w:val="none" w:sz="0" w:space="0" w:color="auto"/>
        <w:right w:val="none" w:sz="0" w:space="0" w:color="auto"/>
      </w:divBdr>
    </w:div>
    <w:div w:id="828524938">
      <w:bodyDiv w:val="1"/>
      <w:marLeft w:val="0"/>
      <w:marRight w:val="0"/>
      <w:marTop w:val="0"/>
      <w:marBottom w:val="0"/>
      <w:divBdr>
        <w:top w:val="none" w:sz="0" w:space="0" w:color="auto"/>
        <w:left w:val="none" w:sz="0" w:space="0" w:color="auto"/>
        <w:bottom w:val="none" w:sz="0" w:space="0" w:color="auto"/>
        <w:right w:val="none" w:sz="0" w:space="0" w:color="auto"/>
      </w:divBdr>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991905940">
      <w:bodyDiv w:val="1"/>
      <w:marLeft w:val="0"/>
      <w:marRight w:val="0"/>
      <w:marTop w:val="0"/>
      <w:marBottom w:val="0"/>
      <w:divBdr>
        <w:top w:val="none" w:sz="0" w:space="0" w:color="auto"/>
        <w:left w:val="none" w:sz="0" w:space="0" w:color="auto"/>
        <w:bottom w:val="none" w:sz="0" w:space="0" w:color="auto"/>
        <w:right w:val="none" w:sz="0" w:space="0" w:color="auto"/>
      </w:divBdr>
    </w:div>
    <w:div w:id="1047414222">
      <w:bodyDiv w:val="1"/>
      <w:marLeft w:val="0"/>
      <w:marRight w:val="0"/>
      <w:marTop w:val="0"/>
      <w:marBottom w:val="0"/>
      <w:divBdr>
        <w:top w:val="none" w:sz="0" w:space="0" w:color="auto"/>
        <w:left w:val="none" w:sz="0" w:space="0" w:color="auto"/>
        <w:bottom w:val="none" w:sz="0" w:space="0" w:color="auto"/>
        <w:right w:val="none" w:sz="0" w:space="0" w:color="auto"/>
      </w:divBdr>
      <w:divsChild>
        <w:div w:id="1772048460">
          <w:marLeft w:val="0"/>
          <w:marRight w:val="0"/>
          <w:marTop w:val="0"/>
          <w:marBottom w:val="0"/>
          <w:divBdr>
            <w:top w:val="none" w:sz="0" w:space="0" w:color="auto"/>
            <w:left w:val="none" w:sz="0" w:space="0" w:color="auto"/>
            <w:bottom w:val="none" w:sz="0" w:space="0" w:color="auto"/>
            <w:right w:val="none" w:sz="0" w:space="0" w:color="auto"/>
          </w:divBdr>
        </w:div>
        <w:div w:id="562182105">
          <w:marLeft w:val="0"/>
          <w:marRight w:val="0"/>
          <w:marTop w:val="0"/>
          <w:marBottom w:val="0"/>
          <w:divBdr>
            <w:top w:val="none" w:sz="0" w:space="0" w:color="auto"/>
            <w:left w:val="none" w:sz="0" w:space="0" w:color="auto"/>
            <w:bottom w:val="none" w:sz="0" w:space="0" w:color="auto"/>
            <w:right w:val="none" w:sz="0" w:space="0" w:color="auto"/>
          </w:divBdr>
        </w:div>
        <w:div w:id="557282584">
          <w:marLeft w:val="0"/>
          <w:marRight w:val="0"/>
          <w:marTop w:val="0"/>
          <w:marBottom w:val="0"/>
          <w:divBdr>
            <w:top w:val="none" w:sz="0" w:space="0" w:color="auto"/>
            <w:left w:val="none" w:sz="0" w:space="0" w:color="auto"/>
            <w:bottom w:val="none" w:sz="0" w:space="0" w:color="auto"/>
            <w:right w:val="none" w:sz="0" w:space="0" w:color="auto"/>
          </w:divBdr>
        </w:div>
      </w:divsChild>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103382985">
      <w:bodyDiv w:val="1"/>
      <w:marLeft w:val="0"/>
      <w:marRight w:val="0"/>
      <w:marTop w:val="0"/>
      <w:marBottom w:val="0"/>
      <w:divBdr>
        <w:top w:val="none" w:sz="0" w:space="0" w:color="auto"/>
        <w:left w:val="none" w:sz="0" w:space="0" w:color="auto"/>
        <w:bottom w:val="none" w:sz="0" w:space="0" w:color="auto"/>
        <w:right w:val="none" w:sz="0" w:space="0" w:color="auto"/>
      </w:divBdr>
    </w:div>
    <w:div w:id="1139808636">
      <w:bodyDiv w:val="1"/>
      <w:marLeft w:val="0"/>
      <w:marRight w:val="0"/>
      <w:marTop w:val="0"/>
      <w:marBottom w:val="0"/>
      <w:divBdr>
        <w:top w:val="none" w:sz="0" w:space="0" w:color="auto"/>
        <w:left w:val="none" w:sz="0" w:space="0" w:color="auto"/>
        <w:bottom w:val="none" w:sz="0" w:space="0" w:color="auto"/>
        <w:right w:val="none" w:sz="0" w:space="0" w:color="auto"/>
      </w:divBdr>
    </w:div>
    <w:div w:id="1233738646">
      <w:bodyDiv w:val="1"/>
      <w:marLeft w:val="0"/>
      <w:marRight w:val="0"/>
      <w:marTop w:val="0"/>
      <w:marBottom w:val="0"/>
      <w:divBdr>
        <w:top w:val="none" w:sz="0" w:space="0" w:color="auto"/>
        <w:left w:val="none" w:sz="0" w:space="0" w:color="auto"/>
        <w:bottom w:val="none" w:sz="0" w:space="0" w:color="auto"/>
        <w:right w:val="none" w:sz="0" w:space="0" w:color="auto"/>
      </w:divBdr>
      <w:divsChild>
        <w:div w:id="1977567665">
          <w:marLeft w:val="0"/>
          <w:marRight w:val="0"/>
          <w:marTop w:val="0"/>
          <w:marBottom w:val="0"/>
          <w:divBdr>
            <w:top w:val="none" w:sz="0" w:space="0" w:color="auto"/>
            <w:left w:val="none" w:sz="0" w:space="0" w:color="auto"/>
            <w:bottom w:val="none" w:sz="0" w:space="0" w:color="auto"/>
            <w:right w:val="none" w:sz="0" w:space="0" w:color="auto"/>
          </w:divBdr>
        </w:div>
        <w:div w:id="711884660">
          <w:marLeft w:val="0"/>
          <w:marRight w:val="0"/>
          <w:marTop w:val="0"/>
          <w:marBottom w:val="0"/>
          <w:divBdr>
            <w:top w:val="none" w:sz="0" w:space="0" w:color="auto"/>
            <w:left w:val="none" w:sz="0" w:space="0" w:color="auto"/>
            <w:bottom w:val="none" w:sz="0" w:space="0" w:color="auto"/>
            <w:right w:val="none" w:sz="0" w:space="0" w:color="auto"/>
          </w:divBdr>
        </w:div>
        <w:div w:id="1147670167">
          <w:marLeft w:val="0"/>
          <w:marRight w:val="0"/>
          <w:marTop w:val="0"/>
          <w:marBottom w:val="0"/>
          <w:divBdr>
            <w:top w:val="none" w:sz="0" w:space="0" w:color="auto"/>
            <w:left w:val="none" w:sz="0" w:space="0" w:color="auto"/>
            <w:bottom w:val="none" w:sz="0" w:space="0" w:color="auto"/>
            <w:right w:val="none" w:sz="0" w:space="0" w:color="auto"/>
          </w:divBdr>
        </w:div>
      </w:divsChild>
    </w:div>
    <w:div w:id="1318149133">
      <w:bodyDiv w:val="1"/>
      <w:marLeft w:val="0"/>
      <w:marRight w:val="0"/>
      <w:marTop w:val="0"/>
      <w:marBottom w:val="0"/>
      <w:divBdr>
        <w:top w:val="none" w:sz="0" w:space="0" w:color="auto"/>
        <w:left w:val="none" w:sz="0" w:space="0" w:color="auto"/>
        <w:bottom w:val="none" w:sz="0" w:space="0" w:color="auto"/>
        <w:right w:val="none" w:sz="0" w:space="0" w:color="auto"/>
      </w:divBdr>
    </w:div>
    <w:div w:id="1323663126">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385644181">
      <w:bodyDiv w:val="1"/>
      <w:marLeft w:val="0"/>
      <w:marRight w:val="0"/>
      <w:marTop w:val="0"/>
      <w:marBottom w:val="0"/>
      <w:divBdr>
        <w:top w:val="none" w:sz="0" w:space="0" w:color="auto"/>
        <w:left w:val="none" w:sz="0" w:space="0" w:color="auto"/>
        <w:bottom w:val="none" w:sz="0" w:space="0" w:color="auto"/>
        <w:right w:val="none" w:sz="0" w:space="0" w:color="auto"/>
      </w:divBdr>
      <w:divsChild>
        <w:div w:id="1016537789">
          <w:marLeft w:val="0"/>
          <w:marRight w:val="0"/>
          <w:marTop w:val="0"/>
          <w:marBottom w:val="0"/>
          <w:divBdr>
            <w:top w:val="none" w:sz="0" w:space="0" w:color="auto"/>
            <w:left w:val="none" w:sz="0" w:space="0" w:color="auto"/>
            <w:bottom w:val="none" w:sz="0" w:space="0" w:color="auto"/>
            <w:right w:val="none" w:sz="0" w:space="0" w:color="auto"/>
          </w:divBdr>
        </w:div>
        <w:div w:id="164059848">
          <w:marLeft w:val="0"/>
          <w:marRight w:val="0"/>
          <w:marTop w:val="0"/>
          <w:marBottom w:val="0"/>
          <w:divBdr>
            <w:top w:val="none" w:sz="0" w:space="0" w:color="auto"/>
            <w:left w:val="none" w:sz="0" w:space="0" w:color="auto"/>
            <w:bottom w:val="none" w:sz="0" w:space="0" w:color="auto"/>
            <w:right w:val="none" w:sz="0" w:space="0" w:color="auto"/>
          </w:divBdr>
          <w:divsChild>
            <w:div w:id="957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35658642">
      <w:bodyDiv w:val="1"/>
      <w:marLeft w:val="0"/>
      <w:marRight w:val="0"/>
      <w:marTop w:val="0"/>
      <w:marBottom w:val="0"/>
      <w:divBdr>
        <w:top w:val="none" w:sz="0" w:space="0" w:color="auto"/>
        <w:left w:val="none" w:sz="0" w:space="0" w:color="auto"/>
        <w:bottom w:val="none" w:sz="0" w:space="0" w:color="auto"/>
        <w:right w:val="none" w:sz="0" w:space="0" w:color="auto"/>
      </w:divBdr>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82131100">
      <w:bodyDiv w:val="1"/>
      <w:marLeft w:val="0"/>
      <w:marRight w:val="0"/>
      <w:marTop w:val="0"/>
      <w:marBottom w:val="0"/>
      <w:divBdr>
        <w:top w:val="none" w:sz="0" w:space="0" w:color="auto"/>
        <w:left w:val="none" w:sz="0" w:space="0" w:color="auto"/>
        <w:bottom w:val="none" w:sz="0" w:space="0" w:color="auto"/>
        <w:right w:val="none" w:sz="0" w:space="0" w:color="auto"/>
      </w:divBdr>
    </w:div>
    <w:div w:id="1583098586">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603220345">
      <w:bodyDiv w:val="1"/>
      <w:marLeft w:val="0"/>
      <w:marRight w:val="0"/>
      <w:marTop w:val="0"/>
      <w:marBottom w:val="0"/>
      <w:divBdr>
        <w:top w:val="none" w:sz="0" w:space="0" w:color="auto"/>
        <w:left w:val="none" w:sz="0" w:space="0" w:color="auto"/>
        <w:bottom w:val="none" w:sz="0" w:space="0" w:color="auto"/>
        <w:right w:val="none" w:sz="0" w:space="0" w:color="auto"/>
      </w:divBdr>
      <w:divsChild>
        <w:div w:id="193734067">
          <w:marLeft w:val="0"/>
          <w:marRight w:val="0"/>
          <w:marTop w:val="0"/>
          <w:marBottom w:val="0"/>
          <w:divBdr>
            <w:top w:val="none" w:sz="0" w:space="0" w:color="auto"/>
            <w:left w:val="none" w:sz="0" w:space="0" w:color="auto"/>
            <w:bottom w:val="none" w:sz="0" w:space="0" w:color="auto"/>
            <w:right w:val="none" w:sz="0" w:space="0" w:color="auto"/>
          </w:divBdr>
        </w:div>
        <w:div w:id="1771660477">
          <w:marLeft w:val="0"/>
          <w:marRight w:val="0"/>
          <w:marTop w:val="0"/>
          <w:marBottom w:val="0"/>
          <w:divBdr>
            <w:top w:val="none" w:sz="0" w:space="0" w:color="auto"/>
            <w:left w:val="none" w:sz="0" w:space="0" w:color="auto"/>
            <w:bottom w:val="none" w:sz="0" w:space="0" w:color="auto"/>
            <w:right w:val="none" w:sz="0" w:space="0" w:color="auto"/>
          </w:divBdr>
        </w:div>
      </w:divsChild>
    </w:div>
    <w:div w:id="1648170728">
      <w:bodyDiv w:val="1"/>
      <w:marLeft w:val="0"/>
      <w:marRight w:val="0"/>
      <w:marTop w:val="0"/>
      <w:marBottom w:val="0"/>
      <w:divBdr>
        <w:top w:val="none" w:sz="0" w:space="0" w:color="auto"/>
        <w:left w:val="none" w:sz="0" w:space="0" w:color="auto"/>
        <w:bottom w:val="none" w:sz="0" w:space="0" w:color="auto"/>
        <w:right w:val="none" w:sz="0" w:space="0" w:color="auto"/>
      </w:divBdr>
    </w:div>
    <w:div w:id="1710763085">
      <w:bodyDiv w:val="1"/>
      <w:marLeft w:val="0"/>
      <w:marRight w:val="0"/>
      <w:marTop w:val="0"/>
      <w:marBottom w:val="0"/>
      <w:divBdr>
        <w:top w:val="none" w:sz="0" w:space="0" w:color="auto"/>
        <w:left w:val="none" w:sz="0" w:space="0" w:color="auto"/>
        <w:bottom w:val="none" w:sz="0" w:space="0" w:color="auto"/>
        <w:right w:val="none" w:sz="0" w:space="0" w:color="auto"/>
      </w:divBdr>
      <w:divsChild>
        <w:div w:id="1675648546">
          <w:marLeft w:val="0"/>
          <w:marRight w:val="0"/>
          <w:marTop w:val="0"/>
          <w:marBottom w:val="0"/>
          <w:divBdr>
            <w:top w:val="none" w:sz="0" w:space="0" w:color="auto"/>
            <w:left w:val="none" w:sz="0" w:space="0" w:color="auto"/>
            <w:bottom w:val="none" w:sz="0" w:space="0" w:color="auto"/>
            <w:right w:val="none" w:sz="0" w:space="0" w:color="auto"/>
          </w:divBdr>
        </w:div>
        <w:div w:id="1515529538">
          <w:marLeft w:val="0"/>
          <w:marRight w:val="0"/>
          <w:marTop w:val="0"/>
          <w:marBottom w:val="0"/>
          <w:divBdr>
            <w:top w:val="none" w:sz="0" w:space="0" w:color="auto"/>
            <w:left w:val="none" w:sz="0" w:space="0" w:color="auto"/>
            <w:bottom w:val="none" w:sz="0" w:space="0" w:color="auto"/>
            <w:right w:val="none" w:sz="0" w:space="0" w:color="auto"/>
          </w:divBdr>
        </w:div>
        <w:div w:id="1780643384">
          <w:marLeft w:val="0"/>
          <w:marRight w:val="0"/>
          <w:marTop w:val="0"/>
          <w:marBottom w:val="0"/>
          <w:divBdr>
            <w:top w:val="none" w:sz="0" w:space="0" w:color="auto"/>
            <w:left w:val="none" w:sz="0" w:space="0" w:color="auto"/>
            <w:bottom w:val="none" w:sz="0" w:space="0" w:color="auto"/>
            <w:right w:val="none" w:sz="0" w:space="0" w:color="auto"/>
          </w:divBdr>
        </w:div>
      </w:divsChild>
    </w:div>
    <w:div w:id="1847984272">
      <w:bodyDiv w:val="1"/>
      <w:marLeft w:val="0"/>
      <w:marRight w:val="0"/>
      <w:marTop w:val="0"/>
      <w:marBottom w:val="0"/>
      <w:divBdr>
        <w:top w:val="none" w:sz="0" w:space="0" w:color="auto"/>
        <w:left w:val="none" w:sz="0" w:space="0" w:color="auto"/>
        <w:bottom w:val="none" w:sz="0" w:space="0" w:color="auto"/>
        <w:right w:val="none" w:sz="0" w:space="0" w:color="auto"/>
      </w:divBdr>
      <w:divsChild>
        <w:div w:id="1693720769">
          <w:marLeft w:val="0"/>
          <w:marRight w:val="0"/>
          <w:marTop w:val="0"/>
          <w:marBottom w:val="0"/>
          <w:divBdr>
            <w:top w:val="none" w:sz="0" w:space="0" w:color="auto"/>
            <w:left w:val="none" w:sz="0" w:space="0" w:color="auto"/>
            <w:bottom w:val="none" w:sz="0" w:space="0" w:color="auto"/>
            <w:right w:val="none" w:sz="0" w:space="0" w:color="auto"/>
          </w:divBdr>
        </w:div>
        <w:div w:id="741486483">
          <w:marLeft w:val="0"/>
          <w:marRight w:val="0"/>
          <w:marTop w:val="0"/>
          <w:marBottom w:val="0"/>
          <w:divBdr>
            <w:top w:val="none" w:sz="0" w:space="0" w:color="auto"/>
            <w:left w:val="none" w:sz="0" w:space="0" w:color="auto"/>
            <w:bottom w:val="none" w:sz="0" w:space="0" w:color="auto"/>
            <w:right w:val="none" w:sz="0" w:space="0" w:color="auto"/>
          </w:divBdr>
        </w:div>
        <w:div w:id="636111350">
          <w:marLeft w:val="0"/>
          <w:marRight w:val="0"/>
          <w:marTop w:val="0"/>
          <w:marBottom w:val="0"/>
          <w:divBdr>
            <w:top w:val="none" w:sz="0" w:space="0" w:color="auto"/>
            <w:left w:val="none" w:sz="0" w:space="0" w:color="auto"/>
            <w:bottom w:val="none" w:sz="0" w:space="0" w:color="auto"/>
            <w:right w:val="none" w:sz="0" w:space="0" w:color="auto"/>
          </w:divBdr>
        </w:div>
      </w:divsChild>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 w:id="1919319805">
      <w:bodyDiv w:val="1"/>
      <w:marLeft w:val="0"/>
      <w:marRight w:val="0"/>
      <w:marTop w:val="0"/>
      <w:marBottom w:val="0"/>
      <w:divBdr>
        <w:top w:val="none" w:sz="0" w:space="0" w:color="auto"/>
        <w:left w:val="none" w:sz="0" w:space="0" w:color="auto"/>
        <w:bottom w:val="none" w:sz="0" w:space="0" w:color="auto"/>
        <w:right w:val="none" w:sz="0" w:space="0" w:color="auto"/>
      </w:divBdr>
      <w:divsChild>
        <w:div w:id="245649335">
          <w:marLeft w:val="0"/>
          <w:marRight w:val="0"/>
          <w:marTop w:val="0"/>
          <w:marBottom w:val="0"/>
          <w:divBdr>
            <w:top w:val="none" w:sz="0" w:space="0" w:color="auto"/>
            <w:left w:val="none" w:sz="0" w:space="0" w:color="auto"/>
            <w:bottom w:val="none" w:sz="0" w:space="0" w:color="auto"/>
            <w:right w:val="none" w:sz="0" w:space="0" w:color="auto"/>
          </w:divBdr>
        </w:div>
        <w:div w:id="1151798200">
          <w:marLeft w:val="0"/>
          <w:marRight w:val="0"/>
          <w:marTop w:val="0"/>
          <w:marBottom w:val="0"/>
          <w:divBdr>
            <w:top w:val="none" w:sz="0" w:space="0" w:color="auto"/>
            <w:left w:val="none" w:sz="0" w:space="0" w:color="auto"/>
            <w:bottom w:val="none" w:sz="0" w:space="0" w:color="auto"/>
            <w:right w:val="none" w:sz="0" w:space="0" w:color="auto"/>
          </w:divBdr>
        </w:div>
        <w:div w:id="675619298">
          <w:marLeft w:val="0"/>
          <w:marRight w:val="0"/>
          <w:marTop w:val="0"/>
          <w:marBottom w:val="0"/>
          <w:divBdr>
            <w:top w:val="none" w:sz="0" w:space="0" w:color="auto"/>
            <w:left w:val="none" w:sz="0" w:space="0" w:color="auto"/>
            <w:bottom w:val="none" w:sz="0" w:space="0" w:color="auto"/>
            <w:right w:val="none" w:sz="0" w:space="0" w:color="auto"/>
          </w:divBdr>
        </w:div>
      </w:divsChild>
    </w:div>
    <w:div w:id="1980186978">
      <w:bodyDiv w:val="1"/>
      <w:marLeft w:val="0"/>
      <w:marRight w:val="0"/>
      <w:marTop w:val="0"/>
      <w:marBottom w:val="0"/>
      <w:divBdr>
        <w:top w:val="none" w:sz="0" w:space="0" w:color="auto"/>
        <w:left w:val="none" w:sz="0" w:space="0" w:color="auto"/>
        <w:bottom w:val="none" w:sz="0" w:space="0" w:color="auto"/>
        <w:right w:val="none" w:sz="0" w:space="0" w:color="auto"/>
      </w:divBdr>
      <w:divsChild>
        <w:div w:id="1227958030">
          <w:marLeft w:val="0"/>
          <w:marRight w:val="0"/>
          <w:marTop w:val="0"/>
          <w:marBottom w:val="0"/>
          <w:divBdr>
            <w:top w:val="none" w:sz="0" w:space="0" w:color="auto"/>
            <w:left w:val="none" w:sz="0" w:space="0" w:color="auto"/>
            <w:bottom w:val="none" w:sz="0" w:space="0" w:color="auto"/>
            <w:right w:val="none" w:sz="0" w:space="0" w:color="auto"/>
          </w:divBdr>
        </w:div>
        <w:div w:id="1700816079">
          <w:marLeft w:val="0"/>
          <w:marRight w:val="0"/>
          <w:marTop w:val="0"/>
          <w:marBottom w:val="0"/>
          <w:divBdr>
            <w:top w:val="none" w:sz="0" w:space="0" w:color="auto"/>
            <w:left w:val="none" w:sz="0" w:space="0" w:color="auto"/>
            <w:bottom w:val="none" w:sz="0" w:space="0" w:color="auto"/>
            <w:right w:val="none" w:sz="0" w:space="0" w:color="auto"/>
          </w:divBdr>
        </w:div>
        <w:div w:id="59714382">
          <w:marLeft w:val="0"/>
          <w:marRight w:val="0"/>
          <w:marTop w:val="0"/>
          <w:marBottom w:val="0"/>
          <w:divBdr>
            <w:top w:val="none" w:sz="0" w:space="0" w:color="auto"/>
            <w:left w:val="none" w:sz="0" w:space="0" w:color="auto"/>
            <w:bottom w:val="none" w:sz="0" w:space="0" w:color="auto"/>
            <w:right w:val="none" w:sz="0" w:space="0" w:color="auto"/>
          </w:divBdr>
        </w:div>
      </w:divsChild>
    </w:div>
    <w:div w:id="1992640226">
      <w:bodyDiv w:val="1"/>
      <w:marLeft w:val="0"/>
      <w:marRight w:val="0"/>
      <w:marTop w:val="0"/>
      <w:marBottom w:val="0"/>
      <w:divBdr>
        <w:top w:val="none" w:sz="0" w:space="0" w:color="auto"/>
        <w:left w:val="none" w:sz="0" w:space="0" w:color="auto"/>
        <w:bottom w:val="none" w:sz="0" w:space="0" w:color="auto"/>
        <w:right w:val="none" w:sz="0" w:space="0" w:color="auto"/>
      </w:divBdr>
      <w:divsChild>
        <w:div w:id="543906031">
          <w:marLeft w:val="0"/>
          <w:marRight w:val="0"/>
          <w:marTop w:val="0"/>
          <w:marBottom w:val="0"/>
          <w:divBdr>
            <w:top w:val="none" w:sz="0" w:space="0" w:color="auto"/>
            <w:left w:val="none" w:sz="0" w:space="0" w:color="auto"/>
            <w:bottom w:val="none" w:sz="0" w:space="0" w:color="auto"/>
            <w:right w:val="none" w:sz="0" w:space="0" w:color="auto"/>
          </w:divBdr>
        </w:div>
      </w:divsChild>
    </w:div>
    <w:div w:id="2001349985">
      <w:bodyDiv w:val="1"/>
      <w:marLeft w:val="0"/>
      <w:marRight w:val="0"/>
      <w:marTop w:val="0"/>
      <w:marBottom w:val="0"/>
      <w:divBdr>
        <w:top w:val="none" w:sz="0" w:space="0" w:color="auto"/>
        <w:left w:val="none" w:sz="0" w:space="0" w:color="auto"/>
        <w:bottom w:val="none" w:sz="0" w:space="0" w:color="auto"/>
        <w:right w:val="none" w:sz="0" w:space="0" w:color="auto"/>
      </w:divBdr>
    </w:div>
    <w:div w:id="2108428649">
      <w:bodyDiv w:val="1"/>
      <w:marLeft w:val="0"/>
      <w:marRight w:val="0"/>
      <w:marTop w:val="0"/>
      <w:marBottom w:val="0"/>
      <w:divBdr>
        <w:top w:val="none" w:sz="0" w:space="0" w:color="auto"/>
        <w:left w:val="none" w:sz="0" w:space="0" w:color="auto"/>
        <w:bottom w:val="none" w:sz="0" w:space="0" w:color="auto"/>
        <w:right w:val="none" w:sz="0" w:space="0" w:color="auto"/>
      </w:divBdr>
    </w:div>
    <w:div w:id="2118671760">
      <w:bodyDiv w:val="1"/>
      <w:marLeft w:val="0"/>
      <w:marRight w:val="0"/>
      <w:marTop w:val="0"/>
      <w:marBottom w:val="0"/>
      <w:divBdr>
        <w:top w:val="none" w:sz="0" w:space="0" w:color="auto"/>
        <w:left w:val="none" w:sz="0" w:space="0" w:color="auto"/>
        <w:bottom w:val="none" w:sz="0" w:space="0" w:color="auto"/>
        <w:right w:val="none" w:sz="0" w:space="0" w:color="auto"/>
      </w:divBdr>
      <w:divsChild>
        <w:div w:id="793673654">
          <w:marLeft w:val="0"/>
          <w:marRight w:val="0"/>
          <w:marTop w:val="0"/>
          <w:marBottom w:val="0"/>
          <w:divBdr>
            <w:top w:val="none" w:sz="0" w:space="0" w:color="auto"/>
            <w:left w:val="none" w:sz="0" w:space="0" w:color="auto"/>
            <w:bottom w:val="none" w:sz="0" w:space="0" w:color="auto"/>
            <w:right w:val="none" w:sz="0" w:space="0" w:color="auto"/>
          </w:divBdr>
        </w:div>
        <w:div w:id="669526168">
          <w:marLeft w:val="0"/>
          <w:marRight w:val="0"/>
          <w:marTop w:val="0"/>
          <w:marBottom w:val="0"/>
          <w:divBdr>
            <w:top w:val="none" w:sz="0" w:space="0" w:color="auto"/>
            <w:left w:val="none" w:sz="0" w:space="0" w:color="auto"/>
            <w:bottom w:val="none" w:sz="0" w:space="0" w:color="auto"/>
            <w:right w:val="none" w:sz="0" w:space="0" w:color="auto"/>
          </w:divBdr>
        </w:div>
        <w:div w:id="177979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1c3c77a1-61c1-4779-aaa9-6f50c9783424</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4D774-9DEE-49D5-AB90-5136DD6E7ED0}">
  <ds:schemaRefs>
    <ds:schemaRef ds:uri="http://www.datev.de/BSOffice/999929"/>
  </ds:schemaRefs>
</ds:datastoreItem>
</file>

<file path=customXml/itemProps2.xml><?xml version="1.0" encoding="utf-8"?>
<ds:datastoreItem xmlns:ds="http://schemas.openxmlformats.org/officeDocument/2006/customXml" ds:itemID="{1DD84DC9-CF35-46A5-B4BD-9CF25EFB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6836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7</cp:revision>
  <cp:lastPrinted>2019-01-17T09:30:00Z</cp:lastPrinted>
  <dcterms:created xsi:type="dcterms:W3CDTF">2021-08-26T15:21:00Z</dcterms:created>
  <dcterms:modified xsi:type="dcterms:W3CDTF">2021-09-30T09:21:00Z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592397</vt:lpwstr>
  </property>
  <property fmtid="{D5CDD505-2E9C-101B-9397-08002B2CF9AE}" pid="5" name="DATEV-DMS_BETREFF">
    <vt:lpwstr>Mandantenrundbrief Oktober 2021</vt:lpwstr>
  </property>
</Properties>
</file>