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nd Wohnungseigen-</w:t>
                            </w:r>
                            <w:bookmarkStart w:id="0" w:name="_GoBack"/>
                            <w:proofErr w:type="spellStart"/>
                            <w:r w:rsidR="003E59C5">
                              <w:rPr>
                                <w:b/>
                                <w:sz w:val="28"/>
                              </w:rPr>
                              <w:t>tumsrecht</w:t>
                            </w:r>
                            <w:bookmarkEnd w:id="0"/>
                            <w:proofErr w:type="spellEnd"/>
                            <w:r w:rsidR="003E59C5">
                              <w:rPr>
                                <w:b/>
                                <w:sz w:val="28"/>
                              </w:rPr>
                              <w:t xml:space="preserve"> </w:t>
                            </w:r>
                            <w:r w:rsidR="00081148">
                              <w:rPr>
                                <w:b/>
                                <w:sz w:val="28"/>
                              </w:rPr>
                              <w:t>April</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081148">
                        <w:rPr>
                          <w:b/>
                          <w:sz w:val="28"/>
                        </w:rPr>
                        <w:t>April</w:t>
                      </w:r>
                      <w:r w:rsidR="00552D94">
                        <w:rPr>
                          <w:b/>
                          <w:sz w:val="28"/>
                        </w:rPr>
                        <w:t xml:space="preserve">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415FF2" w:rsidRDefault="00415FF2" w:rsidP="00415FF2">
      <w:pPr>
        <w:pStyle w:val="berschrift5"/>
      </w:pPr>
    </w:p>
    <w:p w:rsidR="00130DFD" w:rsidRPr="00130DFD" w:rsidRDefault="00AE690E" w:rsidP="00130DFD">
      <w:pPr>
        <w:pStyle w:val="NurText"/>
        <w:rPr>
          <w:rFonts w:ascii="Times New Roman" w:hAnsi="Times New Roman" w:cs="Times New Roman"/>
          <w:sz w:val="24"/>
          <w:szCs w:val="24"/>
        </w:rPr>
      </w:pPr>
      <w:r w:rsidRPr="00130DFD">
        <w:rPr>
          <w:rFonts w:ascii="Times New Roman" w:hAnsi="Times New Roman" w:cs="Times New Roman"/>
          <w:sz w:val="24"/>
          <w:szCs w:val="24"/>
        </w:rPr>
        <w:t>﻿</w:t>
      </w:r>
      <w:r w:rsidRPr="00130DFD">
        <w:rPr>
          <w:rFonts w:ascii="Times New Roman" w:hAnsi="Times New Roman" w:cs="Times New Roman"/>
          <w:b/>
          <w:sz w:val="24"/>
          <w:szCs w:val="24"/>
        </w:rPr>
        <w:t>Untermieter haftet für den vollen Nutzungsausfall der ganzen Wohnung</w:t>
      </w:r>
      <w:r w:rsidRPr="00130DFD">
        <w:rPr>
          <w:rFonts w:ascii="Times New Roman" w:hAnsi="Times New Roman" w:cs="Times New Roman"/>
          <w:sz w:val="24"/>
          <w:szCs w:val="24"/>
        </w:rPr>
        <w:br/>
      </w:r>
      <w:r w:rsidRPr="00130DFD">
        <w:rPr>
          <w:rFonts w:ascii="Times New Roman" w:hAnsi="Times New Roman" w:cs="Times New Roman"/>
          <w:sz w:val="24"/>
          <w:szCs w:val="24"/>
        </w:rPr>
        <w:br/>
        <w:t xml:space="preserve">Der </w:t>
      </w:r>
      <w:r w:rsidRPr="00CA35B6">
        <w:rPr>
          <w:rFonts w:ascii="Times New Roman" w:hAnsi="Times New Roman" w:cs="Times New Roman"/>
          <w:b/>
          <w:sz w:val="24"/>
          <w:szCs w:val="24"/>
        </w:rPr>
        <w:t>BGH</w:t>
      </w:r>
      <w:r w:rsidRPr="00130DFD">
        <w:rPr>
          <w:rFonts w:ascii="Times New Roman" w:hAnsi="Times New Roman" w:cs="Times New Roman"/>
          <w:sz w:val="24"/>
          <w:szCs w:val="24"/>
        </w:rPr>
        <w:t xml:space="preserve"> hat mit Urteil vom 11.12.2020 entschieden, dass der Untermieter nach den Vorschriften des Eigentümer – Besitzer – Verhältnisses Schadensersatz in Höhe der vom Hauptmieter geschuldeten Nutzungsentschädigung für die ganze Wohnung zu zahlen hat, wenn der Untermieter die Wohnung nach einer ihm gerichtlich gewährten Räumungsfrist nicht herausgibt. Dass dem Untermieter kraft des Untermietvertrages nur ein einzelner Raum untervermietet war, spielt jedenfalls dann keine Rolle, wenn es dem Eigentümer nicht zumutbar ist, nur Teile der Wohnung zu vermieten. In dieser Konstellation setzt der Untermieter als unmittelbarer Besitzer des Raums die Ursache dafür, dass die gesamte Wohnung nicht vermietet werden kann und daher ein Mietausfallschaden bezogen auf die gesamte Wohnung entsteht.</w:t>
      </w:r>
      <w:r w:rsidRPr="00130DFD">
        <w:rPr>
          <w:rFonts w:ascii="Times New Roman" w:hAnsi="Times New Roman" w:cs="Times New Roman"/>
          <w:sz w:val="24"/>
          <w:szCs w:val="24"/>
        </w:rPr>
        <w:br/>
      </w:r>
      <w:r w:rsidRPr="00130DFD">
        <w:rPr>
          <w:rFonts w:ascii="Times New Roman" w:hAnsi="Times New Roman" w:cs="Times New Roman"/>
          <w:sz w:val="24"/>
          <w:szCs w:val="24"/>
        </w:rPr>
        <w:br/>
      </w:r>
      <w:r w:rsidR="00130DFD" w:rsidRPr="00130DFD">
        <w:rPr>
          <w:rFonts w:ascii="Times New Roman" w:hAnsi="Times New Roman" w:cs="Times New Roman"/>
          <w:b/>
          <w:sz w:val="24"/>
          <w:szCs w:val="24"/>
        </w:rPr>
        <w:t>COVID-19 Einstellung Räumungsvollstreckung</w:t>
      </w:r>
      <w:r w:rsidR="00130DFD" w:rsidRPr="00130DFD">
        <w:rPr>
          <w:rFonts w:ascii="Times New Roman" w:hAnsi="Times New Roman" w:cs="Times New Roman"/>
          <w:sz w:val="24"/>
          <w:szCs w:val="24"/>
        </w:rPr>
        <w:t xml:space="preserve"> </w:t>
      </w:r>
    </w:p>
    <w:p w:rsidR="00130DFD" w:rsidRPr="00130DFD" w:rsidRDefault="00130DFD" w:rsidP="00130DFD">
      <w:pPr>
        <w:pStyle w:val="NurText"/>
        <w:rPr>
          <w:rFonts w:ascii="Times New Roman" w:hAnsi="Times New Roman" w:cs="Times New Roman"/>
          <w:sz w:val="24"/>
          <w:szCs w:val="24"/>
        </w:rPr>
      </w:pPr>
    </w:p>
    <w:p w:rsidR="00130DFD" w:rsidRDefault="00130DFD" w:rsidP="00130DFD">
      <w:pPr>
        <w:pStyle w:val="NurText"/>
        <w:rPr>
          <w:rFonts w:ascii="Times New Roman" w:hAnsi="Times New Roman" w:cs="Times New Roman"/>
          <w:sz w:val="24"/>
          <w:szCs w:val="24"/>
        </w:rPr>
      </w:pPr>
      <w:r w:rsidRPr="00130DFD">
        <w:rPr>
          <w:rFonts w:ascii="Times New Roman" w:hAnsi="Times New Roman" w:cs="Times New Roman"/>
          <w:sz w:val="24"/>
          <w:szCs w:val="24"/>
        </w:rPr>
        <w:t xml:space="preserve">Das </w:t>
      </w:r>
      <w:r w:rsidRPr="00CA35B6">
        <w:rPr>
          <w:rFonts w:ascii="Times New Roman" w:hAnsi="Times New Roman" w:cs="Times New Roman"/>
          <w:b/>
          <w:sz w:val="24"/>
          <w:szCs w:val="24"/>
        </w:rPr>
        <w:t>Landgericht München</w:t>
      </w:r>
      <w:r w:rsidRPr="00130DFD">
        <w:rPr>
          <w:rFonts w:ascii="Times New Roman" w:hAnsi="Times New Roman" w:cs="Times New Roman"/>
          <w:sz w:val="24"/>
          <w:szCs w:val="24"/>
        </w:rPr>
        <w:t xml:space="preserve"> I hat mit Beschluss vom 15.6.2020 festgestellt, dass ausschließlich aus der COVID-19 Pandemie nicht pauschal das Erfordernis einer zeitlich befristeten Einstweiligen Einstellung der Räumungsvollstreckung hergeleitet werden kann. Erforderlich ist eine App wegen der E</w:t>
      </w:r>
      <w:r>
        <w:rPr>
          <w:rFonts w:ascii="Times New Roman" w:hAnsi="Times New Roman" w:cs="Times New Roman"/>
          <w:sz w:val="24"/>
          <w:szCs w:val="24"/>
        </w:rPr>
        <w:t>ntscheidung nach § 765 a</w:t>
      </w:r>
      <w:r w:rsidRPr="00130DFD">
        <w:rPr>
          <w:rFonts w:ascii="Times New Roman" w:hAnsi="Times New Roman" w:cs="Times New Roman"/>
          <w:sz w:val="24"/>
          <w:szCs w:val="24"/>
        </w:rPr>
        <w:t xml:space="preserve"> ZPO.</w:t>
      </w:r>
    </w:p>
    <w:p w:rsidR="008D5AC3" w:rsidRPr="00130DFD" w:rsidRDefault="008D5AC3" w:rsidP="00130DFD">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b/>
          <w:sz w:val="24"/>
          <w:szCs w:val="24"/>
        </w:rPr>
      </w:pPr>
      <w:r w:rsidRPr="008D5AC3">
        <w:rPr>
          <w:rFonts w:ascii="Times New Roman" w:hAnsi="Times New Roman" w:cs="Times New Roman"/>
          <w:b/>
          <w:sz w:val="24"/>
          <w:szCs w:val="24"/>
        </w:rPr>
        <w:t>Umfassende Modernisierung muss Neubau entsprechen</w:t>
      </w:r>
    </w:p>
    <w:p w:rsidR="008D5AC3" w:rsidRPr="008D5AC3" w:rsidRDefault="008D5AC3" w:rsidP="008D5AC3">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sz w:val="24"/>
          <w:szCs w:val="24"/>
        </w:rPr>
      </w:pPr>
      <w:r w:rsidRPr="008D5AC3">
        <w:rPr>
          <w:rFonts w:ascii="Times New Roman" w:hAnsi="Times New Roman" w:cs="Times New Roman"/>
          <w:sz w:val="24"/>
          <w:szCs w:val="24"/>
        </w:rPr>
        <w:t xml:space="preserve">Mit einem Urteil vom 11.11.2020 hat der BGH entschieden, dass eine umfassende Modernisierung im Sinne von </w:t>
      </w:r>
      <w:r w:rsidR="00CA35B6">
        <w:rPr>
          <w:rFonts w:ascii="Times New Roman" w:hAnsi="Times New Roman" w:cs="Times New Roman"/>
          <w:sz w:val="24"/>
          <w:szCs w:val="24"/>
        </w:rPr>
        <w:t>§</w:t>
      </w:r>
      <w:r w:rsidRPr="008D5AC3">
        <w:rPr>
          <w:rFonts w:ascii="Times New Roman" w:hAnsi="Times New Roman" w:cs="Times New Roman"/>
          <w:sz w:val="24"/>
          <w:szCs w:val="24"/>
        </w:rPr>
        <w:t xml:space="preserve"> 556 </w:t>
      </w:r>
      <w:r w:rsidR="00CA35B6">
        <w:rPr>
          <w:rFonts w:ascii="Times New Roman" w:hAnsi="Times New Roman" w:cs="Times New Roman"/>
          <w:sz w:val="24"/>
          <w:szCs w:val="24"/>
        </w:rPr>
        <w:t>f</w:t>
      </w:r>
      <w:r w:rsidRPr="008D5AC3">
        <w:rPr>
          <w:rFonts w:ascii="Times New Roman" w:hAnsi="Times New Roman" w:cs="Times New Roman"/>
          <w:sz w:val="24"/>
          <w:szCs w:val="24"/>
        </w:rPr>
        <w:t xml:space="preserve"> Satz </w:t>
      </w:r>
      <w:r w:rsidR="00CA35B6">
        <w:rPr>
          <w:rFonts w:ascii="Times New Roman" w:hAnsi="Times New Roman" w:cs="Times New Roman"/>
          <w:sz w:val="24"/>
          <w:szCs w:val="24"/>
        </w:rPr>
        <w:t>2</w:t>
      </w:r>
      <w:r w:rsidRPr="008D5AC3">
        <w:rPr>
          <w:rFonts w:ascii="Times New Roman" w:hAnsi="Times New Roman" w:cs="Times New Roman"/>
          <w:sz w:val="24"/>
          <w:szCs w:val="24"/>
        </w:rPr>
        <w:t xml:space="preserve"> BGB vorliegt, wenn die Kost</w:t>
      </w:r>
      <w:r w:rsidR="00CA35B6">
        <w:rPr>
          <w:rFonts w:ascii="Times New Roman" w:hAnsi="Times New Roman" w:cs="Times New Roman"/>
          <w:sz w:val="24"/>
          <w:szCs w:val="24"/>
        </w:rPr>
        <w:t>en circa ein Drittel der Neubauk</w:t>
      </w:r>
      <w:r w:rsidRPr="008D5AC3">
        <w:rPr>
          <w:rFonts w:ascii="Times New Roman" w:hAnsi="Times New Roman" w:cs="Times New Roman"/>
          <w:sz w:val="24"/>
          <w:szCs w:val="24"/>
        </w:rPr>
        <w:t xml:space="preserve">osten ausmachen und </w:t>
      </w:r>
      <w:r w:rsidRPr="008D5AC3">
        <w:rPr>
          <w:rFonts w:ascii="Times New Roman" w:hAnsi="Times New Roman" w:cs="Times New Roman"/>
          <w:sz w:val="24"/>
          <w:szCs w:val="24"/>
        </w:rPr>
        <w:t>der Zustand demjenigen eines Neubaus in wesentlichen Teilen entspricht. Reine Erhaltungskosten zählen beim Bauaufwand nic</w:t>
      </w:r>
      <w:r w:rsidR="00CA35B6">
        <w:rPr>
          <w:rFonts w:ascii="Times New Roman" w:hAnsi="Times New Roman" w:cs="Times New Roman"/>
          <w:sz w:val="24"/>
          <w:szCs w:val="24"/>
        </w:rPr>
        <w:t>ht mit. Bei einer modernisieren</w:t>
      </w:r>
      <w:r w:rsidRPr="008D5AC3">
        <w:rPr>
          <w:rFonts w:ascii="Times New Roman" w:hAnsi="Times New Roman" w:cs="Times New Roman"/>
          <w:sz w:val="24"/>
          <w:szCs w:val="24"/>
        </w:rPr>
        <w:t xml:space="preserve">den Instandsetzung muss ein </w:t>
      </w:r>
      <w:r w:rsidR="00CA35B6">
        <w:rPr>
          <w:rFonts w:ascii="Times New Roman" w:hAnsi="Times New Roman" w:cs="Times New Roman"/>
          <w:sz w:val="24"/>
          <w:szCs w:val="24"/>
        </w:rPr>
        <w:t>zeit</w:t>
      </w:r>
      <w:r w:rsidRPr="008D5AC3">
        <w:rPr>
          <w:rFonts w:ascii="Times New Roman" w:hAnsi="Times New Roman" w:cs="Times New Roman"/>
          <w:sz w:val="24"/>
          <w:szCs w:val="24"/>
        </w:rPr>
        <w:t>anteilige</w:t>
      </w:r>
      <w:r w:rsidR="00CA35B6">
        <w:rPr>
          <w:rFonts w:ascii="Times New Roman" w:hAnsi="Times New Roman" w:cs="Times New Roman"/>
          <w:sz w:val="24"/>
          <w:szCs w:val="24"/>
        </w:rPr>
        <w:t>r</w:t>
      </w:r>
      <w:r w:rsidRPr="008D5AC3">
        <w:rPr>
          <w:rFonts w:ascii="Times New Roman" w:hAnsi="Times New Roman" w:cs="Times New Roman"/>
          <w:sz w:val="24"/>
          <w:szCs w:val="24"/>
        </w:rPr>
        <w:t xml:space="preserve"> Abzug der angefallenen Kosten dann vorgenommen werden, wenn Bauteile, die zwar noch nicht mangelhaft, aber bereits über einen erheblichen Anteil ihrer Lebensdauer abgenutzt sind, durch solche von besserer Qualität ersetzt werden. Infolge der Baumaßnahme muss die Wohnung in mehreren,</w:t>
      </w:r>
      <w:r w:rsidR="00CA35B6">
        <w:rPr>
          <w:rFonts w:ascii="Times New Roman" w:hAnsi="Times New Roman" w:cs="Times New Roman"/>
          <w:sz w:val="24"/>
          <w:szCs w:val="24"/>
        </w:rPr>
        <w:t xml:space="preserve"> nicht zwingend notwendig allen, </w:t>
      </w:r>
      <w:r w:rsidRPr="008D5AC3">
        <w:rPr>
          <w:rFonts w:ascii="Times New Roman" w:hAnsi="Times New Roman" w:cs="Times New Roman"/>
          <w:sz w:val="24"/>
          <w:szCs w:val="24"/>
        </w:rPr>
        <w:t>wesentlichen Bereichen so qualitativ verbessert worden sein, dass eine Gleichstellung mit einem Neubau gerechtfertigt ist.</w:t>
      </w:r>
    </w:p>
    <w:p w:rsidR="008D5AC3" w:rsidRPr="008D5AC3" w:rsidRDefault="008D5AC3" w:rsidP="008D5AC3">
      <w:pPr>
        <w:pStyle w:val="NurText"/>
        <w:rPr>
          <w:rFonts w:ascii="Times New Roman" w:hAnsi="Times New Roman" w:cs="Times New Roman"/>
          <w:sz w:val="24"/>
          <w:szCs w:val="24"/>
        </w:rPr>
      </w:pPr>
    </w:p>
    <w:p w:rsidR="008D5AC3" w:rsidRPr="00CA35B6" w:rsidRDefault="008D5AC3" w:rsidP="008D5AC3">
      <w:pPr>
        <w:pStyle w:val="NurText"/>
        <w:rPr>
          <w:rFonts w:ascii="Times New Roman" w:hAnsi="Times New Roman" w:cs="Times New Roman"/>
          <w:b/>
          <w:sz w:val="24"/>
          <w:szCs w:val="24"/>
        </w:rPr>
      </w:pPr>
      <w:r w:rsidRPr="00CA35B6">
        <w:rPr>
          <w:rFonts w:ascii="Times New Roman" w:hAnsi="Times New Roman" w:cs="Times New Roman"/>
          <w:b/>
          <w:sz w:val="24"/>
          <w:szCs w:val="24"/>
        </w:rPr>
        <w:t>Abriss ohne Neubau kein Kündigungsgrund</w:t>
      </w:r>
    </w:p>
    <w:p w:rsidR="008D5AC3" w:rsidRPr="008D5AC3" w:rsidRDefault="008D5AC3" w:rsidP="008D5AC3">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sz w:val="24"/>
          <w:szCs w:val="24"/>
        </w:rPr>
      </w:pPr>
      <w:r w:rsidRPr="008D5AC3">
        <w:rPr>
          <w:rFonts w:ascii="Times New Roman" w:hAnsi="Times New Roman" w:cs="Times New Roman"/>
          <w:sz w:val="24"/>
          <w:szCs w:val="24"/>
        </w:rPr>
        <w:t xml:space="preserve">Der </w:t>
      </w:r>
      <w:r w:rsidRPr="00CA35B6">
        <w:rPr>
          <w:rFonts w:ascii="Times New Roman" w:hAnsi="Times New Roman" w:cs="Times New Roman"/>
          <w:b/>
          <w:sz w:val="24"/>
          <w:szCs w:val="24"/>
        </w:rPr>
        <w:t>BGH</w:t>
      </w:r>
      <w:r w:rsidRPr="008D5AC3">
        <w:rPr>
          <w:rFonts w:ascii="Times New Roman" w:hAnsi="Times New Roman" w:cs="Times New Roman"/>
          <w:sz w:val="24"/>
          <w:szCs w:val="24"/>
        </w:rPr>
        <w:t xml:space="preserve"> hat mit Urteil vom 16.12.2020 entschieden, das ist keine wirtschaftliche Verwertung im Sinne des Paragraphen 573 Abs. 2 Nummer </w:t>
      </w:r>
      <w:r w:rsidR="00CA35B6">
        <w:rPr>
          <w:rFonts w:ascii="Times New Roman" w:hAnsi="Times New Roman" w:cs="Times New Roman"/>
          <w:sz w:val="24"/>
          <w:szCs w:val="24"/>
        </w:rPr>
        <w:t>3</w:t>
      </w:r>
      <w:r w:rsidRPr="008D5AC3">
        <w:rPr>
          <w:rFonts w:ascii="Times New Roman" w:hAnsi="Times New Roman" w:cs="Times New Roman"/>
          <w:sz w:val="24"/>
          <w:szCs w:val="24"/>
        </w:rPr>
        <w:t xml:space="preserve"> BGB darstellt, wenn ein Gebäude abgerissen werden soll</w:t>
      </w:r>
      <w:r w:rsidR="00CA35B6">
        <w:rPr>
          <w:rFonts w:ascii="Times New Roman" w:hAnsi="Times New Roman" w:cs="Times New Roman"/>
          <w:sz w:val="24"/>
          <w:szCs w:val="24"/>
        </w:rPr>
        <w:t>, ohne dass das Grundstück neu b</w:t>
      </w:r>
      <w:r w:rsidRPr="008D5AC3">
        <w:rPr>
          <w:rFonts w:ascii="Times New Roman" w:hAnsi="Times New Roman" w:cs="Times New Roman"/>
          <w:sz w:val="24"/>
          <w:szCs w:val="24"/>
        </w:rPr>
        <w:t>ebaut wird. Erfolgt der Abriss, um Leerstandskosten zu vermeiden, so kann eine solche Maßnahme unter die Generalklausel des Paragraphen 573 A</w:t>
      </w:r>
      <w:r w:rsidR="00CA35B6">
        <w:rPr>
          <w:rFonts w:ascii="Times New Roman" w:hAnsi="Times New Roman" w:cs="Times New Roman"/>
          <w:sz w:val="24"/>
          <w:szCs w:val="24"/>
        </w:rPr>
        <w:t>bs. 1 BGB fallen. Diese Kostenv</w:t>
      </w:r>
      <w:r w:rsidRPr="008D5AC3">
        <w:rPr>
          <w:rFonts w:ascii="Times New Roman" w:hAnsi="Times New Roman" w:cs="Times New Roman"/>
          <w:sz w:val="24"/>
          <w:szCs w:val="24"/>
        </w:rPr>
        <w:t>ermeidung stellt jedoch keine Realisierun</w:t>
      </w:r>
      <w:r w:rsidR="00CA35B6">
        <w:rPr>
          <w:rFonts w:ascii="Times New Roman" w:hAnsi="Times New Roman" w:cs="Times New Roman"/>
          <w:sz w:val="24"/>
          <w:szCs w:val="24"/>
        </w:rPr>
        <w:t>g des dem Grundstück innewohnen</w:t>
      </w:r>
      <w:r w:rsidRPr="008D5AC3">
        <w:rPr>
          <w:rFonts w:ascii="Times New Roman" w:hAnsi="Times New Roman" w:cs="Times New Roman"/>
          <w:sz w:val="24"/>
          <w:szCs w:val="24"/>
        </w:rPr>
        <w:t>den materiellen Wert und damit keine wirtschaftliche Verwertung dar.</w:t>
      </w:r>
    </w:p>
    <w:p w:rsidR="008D5AC3" w:rsidRPr="008D5AC3" w:rsidRDefault="008D5AC3" w:rsidP="008D5AC3">
      <w:pPr>
        <w:pStyle w:val="NurText"/>
        <w:rPr>
          <w:rFonts w:ascii="Times New Roman" w:hAnsi="Times New Roman" w:cs="Times New Roman"/>
          <w:sz w:val="24"/>
          <w:szCs w:val="24"/>
        </w:rPr>
      </w:pPr>
    </w:p>
    <w:p w:rsidR="008D5AC3" w:rsidRPr="00CA35B6" w:rsidRDefault="008D5AC3" w:rsidP="008D5AC3">
      <w:pPr>
        <w:pStyle w:val="NurText"/>
        <w:rPr>
          <w:rFonts w:ascii="Times New Roman" w:hAnsi="Times New Roman" w:cs="Times New Roman"/>
          <w:b/>
          <w:sz w:val="24"/>
          <w:szCs w:val="24"/>
        </w:rPr>
      </w:pPr>
      <w:r w:rsidRPr="00CA35B6">
        <w:rPr>
          <w:rFonts w:ascii="Times New Roman" w:hAnsi="Times New Roman" w:cs="Times New Roman"/>
          <w:b/>
          <w:sz w:val="24"/>
          <w:szCs w:val="24"/>
        </w:rPr>
        <w:t>Wegfall der Geschäftsgrundlage und Corona</w:t>
      </w:r>
    </w:p>
    <w:p w:rsidR="008D5AC3" w:rsidRPr="008D5AC3" w:rsidRDefault="008D5AC3" w:rsidP="008D5AC3">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sz w:val="24"/>
          <w:szCs w:val="24"/>
        </w:rPr>
      </w:pPr>
      <w:r w:rsidRPr="008D5AC3">
        <w:rPr>
          <w:rFonts w:ascii="Times New Roman" w:hAnsi="Times New Roman" w:cs="Times New Roman"/>
          <w:sz w:val="24"/>
          <w:szCs w:val="24"/>
        </w:rPr>
        <w:t xml:space="preserve">Das </w:t>
      </w:r>
      <w:r w:rsidRPr="00CA35B6">
        <w:rPr>
          <w:rFonts w:ascii="Times New Roman" w:hAnsi="Times New Roman" w:cs="Times New Roman"/>
          <w:b/>
          <w:sz w:val="24"/>
          <w:szCs w:val="24"/>
        </w:rPr>
        <w:t>Landgericht München I</w:t>
      </w:r>
      <w:r w:rsidRPr="008D5AC3">
        <w:rPr>
          <w:rFonts w:ascii="Times New Roman" w:hAnsi="Times New Roman" w:cs="Times New Roman"/>
          <w:sz w:val="24"/>
          <w:szCs w:val="24"/>
        </w:rPr>
        <w:t xml:space="preserve"> hat mit Urteil vom 25.1.2021 entschieden, dass die in de</w:t>
      </w:r>
      <w:r w:rsidR="00CA35B6">
        <w:rPr>
          <w:rFonts w:ascii="Times New Roman" w:hAnsi="Times New Roman" w:cs="Times New Roman"/>
          <w:sz w:val="24"/>
          <w:szCs w:val="24"/>
        </w:rPr>
        <w:t>n bayerischen Infektionsschutzmaßnahmenveror</w:t>
      </w:r>
      <w:r w:rsidRPr="008D5AC3">
        <w:rPr>
          <w:rFonts w:ascii="Times New Roman" w:hAnsi="Times New Roman" w:cs="Times New Roman"/>
          <w:sz w:val="24"/>
          <w:szCs w:val="24"/>
        </w:rPr>
        <w:t>dnungen gereg</w:t>
      </w:r>
      <w:r w:rsidR="00CA35B6">
        <w:rPr>
          <w:rFonts w:ascii="Times New Roman" w:hAnsi="Times New Roman" w:cs="Times New Roman"/>
          <w:sz w:val="24"/>
          <w:szCs w:val="24"/>
        </w:rPr>
        <w:t>elten Beschränkungen für Hotelbetriebe weder einen zur Minderung berechtigen</w:t>
      </w:r>
      <w:r w:rsidRPr="008D5AC3">
        <w:rPr>
          <w:rFonts w:ascii="Times New Roman" w:hAnsi="Times New Roman" w:cs="Times New Roman"/>
          <w:sz w:val="24"/>
          <w:szCs w:val="24"/>
        </w:rPr>
        <w:t xml:space="preserve">den Mangel der Mietsache noch einen Fall der Unmöglichkeit begründen, aber zu einer Störung der Geschäftsgrundlage führen. Die Frage, ob und in welchem Umfang die Höhe der zu zahlenden Miete nach Paragraph 313 Abs. 1 </w:t>
      </w:r>
      <w:r w:rsidR="00CA35B6">
        <w:rPr>
          <w:rFonts w:ascii="Times New Roman" w:hAnsi="Times New Roman" w:cs="Times New Roman"/>
          <w:sz w:val="24"/>
          <w:szCs w:val="24"/>
        </w:rPr>
        <w:t xml:space="preserve">BGB </w:t>
      </w:r>
      <w:r w:rsidRPr="008D5AC3">
        <w:rPr>
          <w:rFonts w:ascii="Times New Roman" w:hAnsi="Times New Roman" w:cs="Times New Roman"/>
          <w:sz w:val="24"/>
          <w:szCs w:val="24"/>
        </w:rPr>
        <w:t xml:space="preserve">herabzusetzen ist, bedarf neben dem Rückgriff auf allgemeine Wertungen </w:t>
      </w:r>
      <w:r w:rsidRPr="008D5AC3">
        <w:rPr>
          <w:rFonts w:ascii="Times New Roman" w:hAnsi="Times New Roman" w:cs="Times New Roman"/>
          <w:sz w:val="24"/>
          <w:szCs w:val="24"/>
        </w:rPr>
        <w:lastRenderedPageBreak/>
        <w:t>zur Risikoverteilung zusätzlich einer konkreten Begründung anhand der Umstände des Einzelfalls.</w:t>
      </w:r>
    </w:p>
    <w:p w:rsidR="008D5AC3" w:rsidRPr="008D5AC3" w:rsidRDefault="008D5AC3" w:rsidP="008D5AC3">
      <w:pPr>
        <w:pStyle w:val="NurText"/>
        <w:rPr>
          <w:rFonts w:ascii="Times New Roman" w:hAnsi="Times New Roman" w:cs="Times New Roman"/>
          <w:sz w:val="24"/>
          <w:szCs w:val="24"/>
        </w:rPr>
      </w:pPr>
    </w:p>
    <w:p w:rsidR="008D5AC3" w:rsidRPr="00CA35B6" w:rsidRDefault="008D5AC3" w:rsidP="008D5AC3">
      <w:pPr>
        <w:pStyle w:val="NurText"/>
        <w:rPr>
          <w:rFonts w:ascii="Times New Roman" w:hAnsi="Times New Roman" w:cs="Times New Roman"/>
          <w:b/>
          <w:sz w:val="24"/>
          <w:szCs w:val="24"/>
        </w:rPr>
      </w:pPr>
      <w:r w:rsidRPr="00CA35B6">
        <w:rPr>
          <w:rFonts w:ascii="Times New Roman" w:hAnsi="Times New Roman" w:cs="Times New Roman"/>
          <w:b/>
          <w:sz w:val="24"/>
          <w:szCs w:val="24"/>
        </w:rPr>
        <w:t>Corona, 50 % Minderung</w:t>
      </w:r>
    </w:p>
    <w:p w:rsidR="008D5AC3" w:rsidRPr="008D5AC3" w:rsidRDefault="008D5AC3" w:rsidP="008D5AC3">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sz w:val="24"/>
          <w:szCs w:val="24"/>
        </w:rPr>
      </w:pPr>
      <w:r w:rsidRPr="008D5AC3">
        <w:rPr>
          <w:rFonts w:ascii="Times New Roman" w:hAnsi="Times New Roman" w:cs="Times New Roman"/>
          <w:sz w:val="24"/>
          <w:szCs w:val="24"/>
        </w:rPr>
        <w:t xml:space="preserve">Das </w:t>
      </w:r>
      <w:r w:rsidRPr="00CA35B6">
        <w:rPr>
          <w:rFonts w:ascii="Times New Roman" w:hAnsi="Times New Roman" w:cs="Times New Roman"/>
          <w:b/>
          <w:sz w:val="24"/>
          <w:szCs w:val="24"/>
        </w:rPr>
        <w:t>Landgericht Kempten</w:t>
      </w:r>
      <w:r w:rsidRPr="008D5AC3">
        <w:rPr>
          <w:rFonts w:ascii="Times New Roman" w:hAnsi="Times New Roman" w:cs="Times New Roman"/>
          <w:sz w:val="24"/>
          <w:szCs w:val="24"/>
        </w:rPr>
        <w:t xml:space="preserve"> hat am 7.12.2020 entsc</w:t>
      </w:r>
      <w:r w:rsidR="00CA35B6">
        <w:rPr>
          <w:rFonts w:ascii="Times New Roman" w:hAnsi="Times New Roman" w:cs="Times New Roman"/>
          <w:sz w:val="24"/>
          <w:szCs w:val="24"/>
        </w:rPr>
        <w:t>hieden, dass staatliche Coronaa</w:t>
      </w:r>
      <w:r w:rsidRPr="008D5AC3">
        <w:rPr>
          <w:rFonts w:ascii="Times New Roman" w:hAnsi="Times New Roman" w:cs="Times New Roman"/>
          <w:sz w:val="24"/>
          <w:szCs w:val="24"/>
        </w:rPr>
        <w:t xml:space="preserve">uflagen in Form von Schließung des Einzelhandels eine Mietmangel darstellen und zur Minderung berechtigten. Da weder die Mieter noch dem Vermieter das Risiko, dass </w:t>
      </w:r>
      <w:r w:rsidR="00CA35B6">
        <w:rPr>
          <w:rFonts w:ascii="Times New Roman" w:hAnsi="Times New Roman" w:cs="Times New Roman"/>
          <w:sz w:val="24"/>
          <w:szCs w:val="24"/>
        </w:rPr>
        <w:t>s</w:t>
      </w:r>
      <w:r w:rsidRPr="008D5AC3">
        <w:rPr>
          <w:rFonts w:ascii="Times New Roman" w:hAnsi="Times New Roman" w:cs="Times New Roman"/>
          <w:sz w:val="24"/>
          <w:szCs w:val="24"/>
        </w:rPr>
        <w:t>ich in einem staatlich angeordneten Lockdown verwirklicht hat, zugeschrieben werden kann, ist eine Minderung in Höhe von 50 % gerechtfertigt.</w:t>
      </w:r>
    </w:p>
    <w:p w:rsidR="008D5AC3" w:rsidRPr="008D5AC3" w:rsidRDefault="008D5AC3" w:rsidP="008D5AC3">
      <w:pPr>
        <w:pStyle w:val="NurText"/>
        <w:rPr>
          <w:rFonts w:ascii="Times New Roman" w:hAnsi="Times New Roman" w:cs="Times New Roman"/>
          <w:sz w:val="24"/>
          <w:szCs w:val="24"/>
        </w:rPr>
      </w:pPr>
    </w:p>
    <w:p w:rsidR="008D5AC3" w:rsidRPr="00CA35B6" w:rsidRDefault="008D5AC3" w:rsidP="008D5AC3">
      <w:pPr>
        <w:pStyle w:val="NurText"/>
        <w:rPr>
          <w:rFonts w:ascii="Times New Roman" w:hAnsi="Times New Roman" w:cs="Times New Roman"/>
          <w:b/>
          <w:sz w:val="24"/>
          <w:szCs w:val="24"/>
        </w:rPr>
      </w:pPr>
      <w:r w:rsidRPr="00CA35B6">
        <w:rPr>
          <w:rFonts w:ascii="Times New Roman" w:hAnsi="Times New Roman" w:cs="Times New Roman"/>
          <w:b/>
          <w:sz w:val="24"/>
          <w:szCs w:val="24"/>
        </w:rPr>
        <w:t>Sonderrechte für Mieter des Sondereigentums?</w:t>
      </w:r>
    </w:p>
    <w:p w:rsidR="008D5AC3" w:rsidRPr="008D5AC3" w:rsidRDefault="008D5AC3" w:rsidP="008D5AC3">
      <w:pPr>
        <w:pStyle w:val="NurText"/>
        <w:rPr>
          <w:rFonts w:ascii="Times New Roman" w:hAnsi="Times New Roman" w:cs="Times New Roman"/>
          <w:sz w:val="24"/>
          <w:szCs w:val="24"/>
        </w:rPr>
      </w:pPr>
    </w:p>
    <w:p w:rsidR="008D5AC3" w:rsidRPr="008D5AC3" w:rsidRDefault="008D5AC3" w:rsidP="008D5AC3">
      <w:pPr>
        <w:pStyle w:val="NurText"/>
        <w:rPr>
          <w:rFonts w:ascii="Times New Roman" w:hAnsi="Times New Roman" w:cs="Times New Roman"/>
          <w:sz w:val="24"/>
          <w:szCs w:val="24"/>
        </w:rPr>
      </w:pPr>
      <w:r w:rsidRPr="008D5AC3">
        <w:rPr>
          <w:rFonts w:ascii="Times New Roman" w:hAnsi="Times New Roman" w:cs="Times New Roman"/>
          <w:sz w:val="24"/>
          <w:szCs w:val="24"/>
        </w:rPr>
        <w:t xml:space="preserve">Das </w:t>
      </w:r>
      <w:r w:rsidRPr="00CA35B6">
        <w:rPr>
          <w:rFonts w:ascii="Times New Roman" w:hAnsi="Times New Roman" w:cs="Times New Roman"/>
          <w:b/>
          <w:sz w:val="24"/>
          <w:szCs w:val="24"/>
        </w:rPr>
        <w:t>Amtsgericht München</w:t>
      </w:r>
      <w:r w:rsidRPr="008D5AC3">
        <w:rPr>
          <w:rFonts w:ascii="Times New Roman" w:hAnsi="Times New Roman" w:cs="Times New Roman"/>
          <w:sz w:val="24"/>
          <w:szCs w:val="24"/>
        </w:rPr>
        <w:t xml:space="preserve"> hat mit Urteil vom 2</w:t>
      </w:r>
      <w:r w:rsidR="00CA35B6">
        <w:rPr>
          <w:rFonts w:ascii="Times New Roman" w:hAnsi="Times New Roman" w:cs="Times New Roman"/>
          <w:sz w:val="24"/>
          <w:szCs w:val="24"/>
        </w:rPr>
        <w:t>7.7.2020 entschieden, dass das A</w:t>
      </w:r>
      <w:r w:rsidRPr="008D5AC3">
        <w:rPr>
          <w:rFonts w:ascii="Times New Roman" w:hAnsi="Times New Roman" w:cs="Times New Roman"/>
          <w:sz w:val="24"/>
          <w:szCs w:val="24"/>
        </w:rPr>
        <w:t xml:space="preserve">nbringen einer Klimaanlage an der Außenfassade durch den Mieter einer Sondereigentumseinheit eine unzulässige bauliche Veränderung darstellt, die der Zustimmung aller Wohnungseigentümer bedarf. Beeinträchtigt nämlich der Mieter das Eigentum und die Rechte der anderen Eigentümer schwer, muss der Vermieter als Eigentümer auf die Beseitigung beziehungsweise Unterlassung hinwirken. Der Mieter übt </w:t>
      </w:r>
      <w:r w:rsidR="00CA35B6">
        <w:rPr>
          <w:rFonts w:ascii="Times New Roman" w:hAnsi="Times New Roman" w:cs="Times New Roman"/>
          <w:sz w:val="24"/>
          <w:szCs w:val="24"/>
        </w:rPr>
        <w:t>in Bezug auf das Gemeinschaftse</w:t>
      </w:r>
      <w:r w:rsidRPr="008D5AC3">
        <w:rPr>
          <w:rFonts w:ascii="Times New Roman" w:hAnsi="Times New Roman" w:cs="Times New Roman"/>
          <w:sz w:val="24"/>
          <w:szCs w:val="24"/>
        </w:rPr>
        <w:t>igentum eine nur abgeleitete Befugnis aus, die nicht weiter reichen kann, als die Befugnis des Eigentümers selber.</w:t>
      </w:r>
    </w:p>
    <w:p w:rsidR="00F35515" w:rsidRPr="00230CE2" w:rsidRDefault="00230CE2" w:rsidP="00700A5D">
      <w:pPr>
        <w:pStyle w:val="StandardWeb"/>
        <w:rPr>
          <w:b/>
        </w:rPr>
      </w:pPr>
      <w:r w:rsidRPr="00230CE2">
        <w:rPr>
          <w:b/>
        </w:rPr>
        <w:t>Alter allein reicht nicht für Härteeinwand</w:t>
      </w:r>
    </w:p>
    <w:p w:rsidR="00230CE2" w:rsidRPr="00230CE2" w:rsidRDefault="00230CE2" w:rsidP="00230CE2">
      <w:pPr>
        <w:pStyle w:val="StandardWeb"/>
      </w:pPr>
      <w:r>
        <w:t xml:space="preserve">Der </w:t>
      </w:r>
      <w:r w:rsidRPr="00230CE2">
        <w:rPr>
          <w:b/>
        </w:rPr>
        <w:t>BGH</w:t>
      </w:r>
      <w:r>
        <w:t xml:space="preserve"> hat sich in einem Urteil vom 19.03.2021 mit folgendem Sachverhalt befasst. Einer inzwischen fast 90 Jahre alten Frau wurde 2015 nach achtzehn Jahren die Mietwohnung in Berlin wegen Eigenbedarfs gekündigt. Im Hinblick auf ihr hohes Alter, ihren schlechten Gesundheitszustand, ihre Verwurzelung im Bezirk und ihre beschränkten finanziellen Mittel hatte sie der Kündigung widersprochen und sich geweigert, aus der Wohnung auszuziehen. Die Eigentümerin hingegen wollte die </w:t>
      </w:r>
      <w:r w:rsidRPr="00230CE2">
        <w:t xml:space="preserve">Wohnung für ihre gelegentlichen Aufenthalte in Berlin nutzen, anstatt in der Mietwohnung ihres Sohns unterzukommen. In den Vorinstanzen war die Mieterin noch erfolgreich. Die Eigenbedarfskündigung war nach </w:t>
      </w:r>
      <w:r w:rsidRPr="00230CE2">
        <w:rPr>
          <w:rStyle w:val="zit"/>
        </w:rPr>
        <w:t>§ </w:t>
      </w:r>
      <w:hyperlink r:id="rId7" w:history="1">
        <w:r w:rsidRPr="00230CE2">
          <w:rPr>
            <w:rStyle w:val="Hyperlink"/>
            <w:color w:val="auto"/>
            <w:u w:val="none"/>
          </w:rPr>
          <w:t>573</w:t>
        </w:r>
      </w:hyperlink>
      <w:r w:rsidRPr="00230CE2">
        <w:rPr>
          <w:rStyle w:val="zit"/>
        </w:rPr>
        <w:t xml:space="preserve"> Abs. </w:t>
      </w:r>
      <w:hyperlink r:id="rId8" w:history="1">
        <w:r w:rsidRPr="00230CE2">
          <w:rPr>
            <w:rStyle w:val="Hyperlink"/>
            <w:color w:val="auto"/>
            <w:u w:val="none"/>
          </w:rPr>
          <w:t>2</w:t>
        </w:r>
      </w:hyperlink>
      <w:r w:rsidRPr="00230CE2">
        <w:rPr>
          <w:rStyle w:val="zit"/>
        </w:rPr>
        <w:t xml:space="preserve"> Nr. 2, Abs. </w:t>
      </w:r>
      <w:hyperlink r:id="rId9" w:history="1">
        <w:r w:rsidRPr="00230CE2">
          <w:rPr>
            <w:rStyle w:val="Hyperlink"/>
            <w:color w:val="auto"/>
            <w:u w:val="none"/>
          </w:rPr>
          <w:t>3</w:t>
        </w:r>
      </w:hyperlink>
      <w:r w:rsidRPr="00230CE2">
        <w:rPr>
          <w:rStyle w:val="zit"/>
        </w:rPr>
        <w:t xml:space="preserve"> BGB</w:t>
      </w:r>
      <w:r w:rsidRPr="00230CE2">
        <w:t xml:space="preserve"> zum 31.07.2016 wirksam - das Mietverhältnis war damit beendet. Knackpunkt war allein, ob die Mieterin nach </w:t>
      </w:r>
      <w:r w:rsidRPr="00230CE2">
        <w:rPr>
          <w:rStyle w:val="zit"/>
        </w:rPr>
        <w:t xml:space="preserve">§§ </w:t>
      </w:r>
      <w:hyperlink r:id="rId10" w:history="1">
        <w:r w:rsidRPr="00230CE2">
          <w:rPr>
            <w:rStyle w:val="Hyperlink"/>
            <w:color w:val="auto"/>
            <w:u w:val="none"/>
          </w:rPr>
          <w:t>574</w:t>
        </w:r>
      </w:hyperlink>
      <w:r w:rsidRPr="00230CE2">
        <w:rPr>
          <w:rStyle w:val="zit"/>
        </w:rPr>
        <w:t xml:space="preserve">, </w:t>
      </w:r>
      <w:hyperlink r:id="rId11" w:history="1">
        <w:r w:rsidRPr="00230CE2">
          <w:rPr>
            <w:rStyle w:val="Hyperlink"/>
            <w:color w:val="auto"/>
            <w:u w:val="none"/>
          </w:rPr>
          <w:t>574a</w:t>
        </w:r>
      </w:hyperlink>
      <w:r w:rsidRPr="00230CE2">
        <w:rPr>
          <w:rStyle w:val="zit"/>
        </w:rPr>
        <w:t xml:space="preserve"> BGB</w:t>
      </w:r>
      <w:r w:rsidRPr="00230CE2">
        <w:t xml:space="preserve"> verlangen konnte, das Mietverhältnis fortzusetzen, weil der Auszug für sie eine Härte bedeuten würde, die auch unter Würdigung der berechtigten Interessen der Eigentümerin nicht zu rechtfertigen wäre. Der BGH hat das Urteil des Landgerichts aufgehoben, weil es allein auf das hohe Alter der Mieterin abgestellt hat, um die Klage abzuweisen. Es habe andere Aspekte dabei vernachlässigt und entsprechende Feststellungen nicht getroffen. Das ist dem VIII. Zivilsenat zufolge fehlerhaft: Das Gesetz verlange explizit eine Abwägung der gegenseitigen Interessen - das Gericht müsse also alle Gesichtspunkte in die Entscheidung einstellen und gewichten. Weder </w:t>
      </w:r>
      <w:r w:rsidRPr="00230CE2">
        <w:rPr>
          <w:rStyle w:val="zit"/>
        </w:rPr>
        <w:t xml:space="preserve">Art. </w:t>
      </w:r>
      <w:hyperlink r:id="rId12" w:history="1">
        <w:r w:rsidRPr="00230CE2">
          <w:rPr>
            <w:rStyle w:val="Hyperlink"/>
            <w:color w:val="auto"/>
            <w:u w:val="none"/>
          </w:rPr>
          <w:t>25</w:t>
        </w:r>
      </w:hyperlink>
      <w:r w:rsidRPr="00230CE2">
        <w:rPr>
          <w:rStyle w:val="zit"/>
        </w:rPr>
        <w:t xml:space="preserve"> der Europäischen Grundrechte-Charta (GRCh</w:t>
      </w:r>
      <w:r w:rsidRPr="00230CE2">
        <w:t xml:space="preserve">), der die Rechte älterer Menschen schützt, noch die Ausstrahlungswirkung des </w:t>
      </w:r>
      <w:r w:rsidRPr="00230CE2">
        <w:rPr>
          <w:rStyle w:val="zit"/>
        </w:rPr>
        <w:t xml:space="preserve">Art. </w:t>
      </w:r>
      <w:hyperlink r:id="rId13" w:history="1">
        <w:r w:rsidRPr="00230CE2">
          <w:rPr>
            <w:rStyle w:val="Hyperlink"/>
            <w:color w:val="auto"/>
            <w:u w:val="none"/>
          </w:rPr>
          <w:t>1</w:t>
        </w:r>
      </w:hyperlink>
      <w:r w:rsidRPr="00230CE2">
        <w:rPr>
          <w:rStyle w:val="zit"/>
        </w:rPr>
        <w:t xml:space="preserve"> Abs. </w:t>
      </w:r>
      <w:hyperlink r:id="rId14" w:history="1">
        <w:r w:rsidRPr="00230CE2">
          <w:rPr>
            <w:rStyle w:val="Hyperlink"/>
            <w:color w:val="auto"/>
            <w:u w:val="none"/>
          </w:rPr>
          <w:t>1</w:t>
        </w:r>
      </w:hyperlink>
      <w:r w:rsidRPr="00230CE2">
        <w:rPr>
          <w:rStyle w:val="zit"/>
        </w:rPr>
        <w:t xml:space="preserve"> GG</w:t>
      </w:r>
      <w:r w:rsidRPr="00230CE2">
        <w:t xml:space="preserve"> oder das Sozialstaatsprinzip würden eine Bejahung der Härte allein wegen des Alters gebieten. Die von der Vermieterin beabsichtigte Lebensplanung sei grundsätzlich zu respektieren und der Rechtsfindung ebenfalls zugrunde zu legen. Der </w:t>
      </w:r>
      <w:r w:rsidRPr="00230CE2">
        <w:rPr>
          <w:rStyle w:val="zit"/>
        </w:rPr>
        <w:t>BGH</w:t>
      </w:r>
      <w:r w:rsidRPr="00230CE2">
        <w:t xml:space="preserve"> verwies den Fall an das Landgericht zurück, damit es nunmehr ein vom Amtsgericht eingeholtes Sachverständigengutachten zu der Art, dem Umfang und den konkreten Auswirkungen eines Umzugs auf die Lebensführung der Mieterin im Fall des Verlusts der vertrauten Umgebung ausführlich würdigen kann. Auch der Erlass der Mietenbegrenzungsverordnung des Landes Berlin und ein Vortrag der Mieterin zu ihren konkreten Bemühungen, eine neue Wohnung zu finden, sind laut den Karlsruher Richtern in die Entscheidung einzustellen.  </w:t>
      </w:r>
    </w:p>
    <w:p w:rsidR="00652F45" w:rsidRPr="00652F45" w:rsidRDefault="00652F45" w:rsidP="00652F45">
      <w:pPr>
        <w:pStyle w:val="NurText"/>
        <w:rPr>
          <w:rFonts w:ascii="Times New Roman" w:hAnsi="Times New Roman" w:cs="Times New Roman"/>
          <w:b/>
          <w:sz w:val="24"/>
          <w:szCs w:val="24"/>
        </w:rPr>
      </w:pPr>
      <w:r w:rsidRPr="00652F45">
        <w:rPr>
          <w:rFonts w:ascii="Times New Roman" w:hAnsi="Times New Roman" w:cs="Times New Roman"/>
          <w:b/>
          <w:sz w:val="24"/>
          <w:szCs w:val="24"/>
        </w:rPr>
        <w:t>Zwei Mieterhöhungen?</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r w:rsidRPr="00652F45">
        <w:rPr>
          <w:rFonts w:ascii="Times New Roman" w:hAnsi="Times New Roman" w:cs="Times New Roman"/>
          <w:sz w:val="24"/>
          <w:szCs w:val="24"/>
        </w:rPr>
        <w:t xml:space="preserve">Mit Urteil vom 16.12.2020 hat der </w:t>
      </w:r>
      <w:r w:rsidRPr="00652F45">
        <w:rPr>
          <w:rFonts w:ascii="Times New Roman" w:hAnsi="Times New Roman" w:cs="Times New Roman"/>
          <w:b/>
          <w:sz w:val="24"/>
          <w:szCs w:val="24"/>
        </w:rPr>
        <w:t>BGH</w:t>
      </w:r>
      <w:r w:rsidRPr="00652F45">
        <w:rPr>
          <w:rFonts w:ascii="Times New Roman" w:hAnsi="Times New Roman" w:cs="Times New Roman"/>
          <w:sz w:val="24"/>
          <w:szCs w:val="24"/>
        </w:rPr>
        <w:t xml:space="preserve"> entschieden, dass der Vermieter nach einer Mod</w:t>
      </w:r>
      <w:r>
        <w:rPr>
          <w:rFonts w:ascii="Times New Roman" w:hAnsi="Times New Roman" w:cs="Times New Roman"/>
          <w:sz w:val="24"/>
          <w:szCs w:val="24"/>
        </w:rPr>
        <w:t>ernisierungsmaßnahme zunächst vom M</w:t>
      </w:r>
      <w:r w:rsidRPr="00652F45">
        <w:rPr>
          <w:rFonts w:ascii="Times New Roman" w:hAnsi="Times New Roman" w:cs="Times New Roman"/>
          <w:sz w:val="24"/>
          <w:szCs w:val="24"/>
        </w:rPr>
        <w:t>ieter die Zustimmung zu einer Mieterhöhung auf die ortsübliche Vergleichsmiete für modernisierte</w:t>
      </w:r>
      <w:r>
        <w:rPr>
          <w:rFonts w:ascii="Times New Roman" w:hAnsi="Times New Roman" w:cs="Times New Roman"/>
          <w:sz w:val="24"/>
          <w:szCs w:val="24"/>
        </w:rPr>
        <w:t>n</w:t>
      </w:r>
      <w:r w:rsidRPr="00652F45">
        <w:rPr>
          <w:rFonts w:ascii="Times New Roman" w:hAnsi="Times New Roman" w:cs="Times New Roman"/>
          <w:sz w:val="24"/>
          <w:szCs w:val="24"/>
        </w:rPr>
        <w:t xml:space="preserve"> Wohnraum verlangen und später noch eine </w:t>
      </w:r>
      <w:r>
        <w:rPr>
          <w:rFonts w:ascii="Times New Roman" w:hAnsi="Times New Roman" w:cs="Times New Roman"/>
          <w:sz w:val="24"/>
          <w:szCs w:val="24"/>
        </w:rPr>
        <w:t>Mieterhöhung nach Paragraph 559b</w:t>
      </w:r>
      <w:r w:rsidRPr="00652F45">
        <w:rPr>
          <w:rFonts w:ascii="Times New Roman" w:hAnsi="Times New Roman" w:cs="Times New Roman"/>
          <w:sz w:val="24"/>
          <w:szCs w:val="24"/>
        </w:rPr>
        <w:t xml:space="preserve"> BGB wegen der Maßnahme vornehmen kann. In diesem Fall wird die Mieterhöhung auf die ortsübliche Vergleichsmiete auf die Modernisierungsmieterhöhung angerechnet, so dass der Vermieter nicht mehr erhält als die mögliche Modernisierungsmieterhöhung</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b/>
          <w:sz w:val="24"/>
          <w:szCs w:val="24"/>
        </w:rPr>
      </w:pPr>
      <w:r w:rsidRPr="00652F45">
        <w:rPr>
          <w:rFonts w:ascii="Times New Roman" w:hAnsi="Times New Roman" w:cs="Times New Roman"/>
          <w:b/>
          <w:sz w:val="24"/>
          <w:szCs w:val="24"/>
        </w:rPr>
        <w:t xml:space="preserve">Mieterstattung für Ferienhaus wegen Corona Pandemie </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r w:rsidRPr="00652F45">
        <w:rPr>
          <w:rFonts w:ascii="Times New Roman" w:hAnsi="Times New Roman" w:cs="Times New Roman"/>
          <w:sz w:val="24"/>
          <w:szCs w:val="24"/>
        </w:rPr>
        <w:t xml:space="preserve">Das </w:t>
      </w:r>
      <w:r w:rsidRPr="00652F45">
        <w:rPr>
          <w:rFonts w:ascii="Times New Roman" w:hAnsi="Times New Roman" w:cs="Times New Roman"/>
          <w:b/>
          <w:sz w:val="24"/>
          <w:szCs w:val="24"/>
        </w:rPr>
        <w:t>Amtsgericht Hamburg Blankenese</w:t>
      </w:r>
      <w:r w:rsidRPr="00652F45">
        <w:rPr>
          <w:rFonts w:ascii="Times New Roman" w:hAnsi="Times New Roman" w:cs="Times New Roman"/>
          <w:sz w:val="24"/>
          <w:szCs w:val="24"/>
        </w:rPr>
        <w:t xml:space="preserve"> hat mit Urteil vom 18.9.2020 entschieden, dass der Mieter fristlos kündigen und die bereits bezahlte Miete zurück verlangen kann, wenn die Nutzung eines Ferienhauses aufgrund einer allgemeinen Verfügung im Rahmen der Corona – Pandemie untersagt ist.</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b/>
          <w:sz w:val="24"/>
          <w:szCs w:val="24"/>
        </w:rPr>
      </w:pPr>
      <w:r w:rsidRPr="00652F45">
        <w:rPr>
          <w:rFonts w:ascii="Times New Roman" w:hAnsi="Times New Roman" w:cs="Times New Roman"/>
          <w:b/>
          <w:sz w:val="24"/>
          <w:szCs w:val="24"/>
        </w:rPr>
        <w:t>Wegfall der Aktivlegitimation in WEG</w:t>
      </w:r>
    </w:p>
    <w:p w:rsidR="00652F45" w:rsidRPr="00652F45" w:rsidRDefault="00652F45" w:rsidP="00652F45">
      <w:pPr>
        <w:pStyle w:val="NurText"/>
        <w:rPr>
          <w:rFonts w:ascii="Times New Roman" w:hAnsi="Times New Roman" w:cs="Times New Roman"/>
          <w:b/>
          <w:sz w:val="24"/>
          <w:szCs w:val="24"/>
        </w:rPr>
      </w:pPr>
      <w:r w:rsidRPr="00652F45">
        <w:rPr>
          <w:rFonts w:ascii="Times New Roman" w:hAnsi="Times New Roman" w:cs="Times New Roman"/>
          <w:b/>
          <w:sz w:val="24"/>
          <w:szCs w:val="24"/>
        </w:rPr>
        <w:t xml:space="preserve">Verfahren </w:t>
      </w:r>
    </w:p>
    <w:p w:rsid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r>
        <w:rPr>
          <w:rFonts w:ascii="Times New Roman" w:hAnsi="Times New Roman" w:cs="Times New Roman"/>
          <w:sz w:val="24"/>
          <w:szCs w:val="24"/>
        </w:rPr>
        <w:t>D</w:t>
      </w:r>
      <w:r w:rsidRPr="00652F45">
        <w:rPr>
          <w:rFonts w:ascii="Times New Roman" w:hAnsi="Times New Roman" w:cs="Times New Roman"/>
          <w:sz w:val="24"/>
          <w:szCs w:val="24"/>
        </w:rPr>
        <w:t xml:space="preserve">as </w:t>
      </w:r>
      <w:r w:rsidRPr="00652F45">
        <w:rPr>
          <w:rFonts w:ascii="Times New Roman" w:hAnsi="Times New Roman" w:cs="Times New Roman"/>
          <w:b/>
          <w:sz w:val="24"/>
          <w:szCs w:val="24"/>
        </w:rPr>
        <w:t>Landgericht Frankfurt</w:t>
      </w:r>
      <w:r w:rsidRPr="00652F45">
        <w:rPr>
          <w:rFonts w:ascii="Times New Roman" w:hAnsi="Times New Roman" w:cs="Times New Roman"/>
          <w:sz w:val="24"/>
          <w:szCs w:val="24"/>
        </w:rPr>
        <w:t xml:space="preserve"> hat mit Urteil vom 28.1.2021 entschieden, dass zur Geltendmachung von Ansprüchen gegen Wohnungseigentümer wege</w:t>
      </w:r>
      <w:r>
        <w:rPr>
          <w:rFonts w:ascii="Times New Roman" w:hAnsi="Times New Roman" w:cs="Times New Roman"/>
          <w:sz w:val="24"/>
          <w:szCs w:val="24"/>
        </w:rPr>
        <w:t>n Überschreitung ihrer Gebrauchsr</w:t>
      </w:r>
      <w:r w:rsidRPr="00652F45">
        <w:rPr>
          <w:rFonts w:ascii="Times New Roman" w:hAnsi="Times New Roman" w:cs="Times New Roman"/>
          <w:sz w:val="24"/>
          <w:szCs w:val="24"/>
        </w:rPr>
        <w:t>echt</w:t>
      </w:r>
      <w:r>
        <w:rPr>
          <w:rFonts w:ascii="Times New Roman" w:hAnsi="Times New Roman" w:cs="Times New Roman"/>
          <w:sz w:val="24"/>
          <w:szCs w:val="24"/>
        </w:rPr>
        <w:t>e am Gemeinschaftseigentum nach der WE</w:t>
      </w:r>
      <w:r w:rsidRPr="00652F45">
        <w:rPr>
          <w:rFonts w:ascii="Times New Roman" w:hAnsi="Times New Roman" w:cs="Times New Roman"/>
          <w:sz w:val="24"/>
          <w:szCs w:val="24"/>
        </w:rPr>
        <w:t>G – Reform nur d</w:t>
      </w:r>
      <w:r>
        <w:rPr>
          <w:rFonts w:ascii="Times New Roman" w:hAnsi="Times New Roman" w:cs="Times New Roman"/>
          <w:sz w:val="24"/>
          <w:szCs w:val="24"/>
        </w:rPr>
        <w:t>ie Gemeinschaft und nicht mehr E</w:t>
      </w:r>
      <w:r w:rsidRPr="00652F45">
        <w:rPr>
          <w:rFonts w:ascii="Times New Roman" w:hAnsi="Times New Roman" w:cs="Times New Roman"/>
          <w:sz w:val="24"/>
          <w:szCs w:val="24"/>
        </w:rPr>
        <w:t>inzelne berechtigt ist. Dies gilt auch für bereits vor dem 1.12.2020 anhängigen Verfahren.</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b/>
          <w:sz w:val="24"/>
          <w:szCs w:val="24"/>
        </w:rPr>
      </w:pPr>
      <w:r w:rsidRPr="00652F45">
        <w:rPr>
          <w:rFonts w:ascii="Times New Roman" w:hAnsi="Times New Roman" w:cs="Times New Roman"/>
          <w:b/>
          <w:sz w:val="24"/>
          <w:szCs w:val="24"/>
        </w:rPr>
        <w:t>Corona Krise und Räumungsvollstreckung</w:t>
      </w:r>
    </w:p>
    <w:p w:rsidR="00652F45" w:rsidRPr="00652F45" w:rsidRDefault="00652F45" w:rsidP="00652F45">
      <w:pPr>
        <w:pStyle w:val="NurText"/>
        <w:rPr>
          <w:rFonts w:ascii="Times New Roman" w:hAnsi="Times New Roman" w:cs="Times New Roman"/>
          <w:sz w:val="24"/>
          <w:szCs w:val="24"/>
        </w:rPr>
      </w:pPr>
    </w:p>
    <w:p w:rsidR="00652F45" w:rsidRPr="00652F45" w:rsidRDefault="00652F45" w:rsidP="00652F45">
      <w:pPr>
        <w:pStyle w:val="NurText"/>
        <w:rPr>
          <w:rFonts w:ascii="Times New Roman" w:hAnsi="Times New Roman" w:cs="Times New Roman"/>
          <w:sz w:val="24"/>
          <w:szCs w:val="24"/>
        </w:rPr>
      </w:pPr>
      <w:r w:rsidRPr="00652F45">
        <w:rPr>
          <w:rFonts w:ascii="Times New Roman" w:hAnsi="Times New Roman" w:cs="Times New Roman"/>
          <w:sz w:val="24"/>
          <w:szCs w:val="24"/>
        </w:rPr>
        <w:t xml:space="preserve">Nach einer Entscheidung des </w:t>
      </w:r>
      <w:r w:rsidRPr="00652F45">
        <w:rPr>
          <w:rFonts w:ascii="Times New Roman" w:hAnsi="Times New Roman" w:cs="Times New Roman"/>
          <w:b/>
          <w:sz w:val="24"/>
          <w:szCs w:val="24"/>
        </w:rPr>
        <w:t xml:space="preserve">Landgerichts München I </w:t>
      </w:r>
      <w:r w:rsidRPr="00652F45">
        <w:rPr>
          <w:rFonts w:ascii="Times New Roman" w:hAnsi="Times New Roman" w:cs="Times New Roman"/>
          <w:sz w:val="24"/>
          <w:szCs w:val="24"/>
        </w:rPr>
        <w:t>vom 15.6.2020 kann nicht pauschal das Erfordernis einer zeitlich befristeten einstweiligen Einstellung der Räumungsvollstreckung ausschließlich aus der COVID – 19 – Pandemie hergeleitet werden. Erforderlich ist eine Abwägung d</w:t>
      </w:r>
      <w:r>
        <w:rPr>
          <w:rFonts w:ascii="Times New Roman" w:hAnsi="Times New Roman" w:cs="Times New Roman"/>
          <w:sz w:val="24"/>
          <w:szCs w:val="24"/>
        </w:rPr>
        <w:t>er Entscheidung, ohne Ermessenspielraum, nach Paragraph 765</w:t>
      </w:r>
      <w:r w:rsidRPr="00652F45">
        <w:rPr>
          <w:rFonts w:ascii="Times New Roman" w:hAnsi="Times New Roman" w:cs="Times New Roman"/>
          <w:sz w:val="24"/>
          <w:szCs w:val="24"/>
        </w:rPr>
        <w:t xml:space="preserve">a ZPO.  Es ist zwar klar und offensichtlich, dass die Pandemie nahezu alle Bereiche des öffentlichen Lebens einschränkt, diese Situation führt aber nicht grundsätzlich dazu, dass pauschal und ohne auf den konkreten Einzelfall einzugehen, eine einstweilige Einstellung der Zwangsvollstreckung beschlossen werden kann. Dies gilt jedenfalls dann, wenn sich der Schuldner lediglich allgemein auf die Krise und ihrer allgemeinen </w:t>
      </w:r>
      <w:r>
        <w:rPr>
          <w:rFonts w:ascii="Times New Roman" w:hAnsi="Times New Roman" w:cs="Times New Roman"/>
          <w:sz w:val="24"/>
          <w:szCs w:val="24"/>
        </w:rPr>
        <w:t>Auswirkungen</w:t>
      </w:r>
      <w:r w:rsidRPr="00652F45">
        <w:rPr>
          <w:rFonts w:ascii="Times New Roman" w:hAnsi="Times New Roman" w:cs="Times New Roman"/>
          <w:sz w:val="24"/>
          <w:szCs w:val="24"/>
        </w:rPr>
        <w:t xml:space="preserve"> beruft, ohne ansatzweise dazu legen, inwiefern er selbst davon betroffen ist.</w:t>
      </w:r>
    </w:p>
    <w:p w:rsidR="00230CE2" w:rsidRPr="00652F45" w:rsidRDefault="00230CE2" w:rsidP="00700A5D">
      <w:pPr>
        <w:pStyle w:val="StandardWeb"/>
      </w:pPr>
    </w:p>
    <w:p w:rsidR="00230CE2" w:rsidRDefault="00230CE2" w:rsidP="00700A5D">
      <w:pPr>
        <w:pStyle w:val="StandardWeb"/>
      </w:pPr>
    </w:p>
    <w:p w:rsidR="00230CE2" w:rsidRDefault="00230CE2" w:rsidP="00700A5D">
      <w:pPr>
        <w:pStyle w:val="StandardWeb"/>
      </w:pP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6335"/>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0CE2"/>
    <w:rsid w:val="00232F4F"/>
    <w:rsid w:val="00236A45"/>
    <w:rsid w:val="002370DE"/>
    <w:rsid w:val="00256516"/>
    <w:rsid w:val="00256BB2"/>
    <w:rsid w:val="00264863"/>
    <w:rsid w:val="00265A05"/>
    <w:rsid w:val="00271141"/>
    <w:rsid w:val="00294681"/>
    <w:rsid w:val="002A1EF2"/>
    <w:rsid w:val="002A7469"/>
    <w:rsid w:val="002A7A9D"/>
    <w:rsid w:val="002B4C94"/>
    <w:rsid w:val="002C4D08"/>
    <w:rsid w:val="002D4B52"/>
    <w:rsid w:val="002D63AE"/>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4042"/>
    <w:rsid w:val="005C553D"/>
    <w:rsid w:val="005D13B1"/>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2F45"/>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5AC3"/>
    <w:rsid w:val="008D7AD3"/>
    <w:rsid w:val="008E1688"/>
    <w:rsid w:val="008F1F4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27FB"/>
    <w:rsid w:val="009E3F68"/>
    <w:rsid w:val="00A00F63"/>
    <w:rsid w:val="00A010B5"/>
    <w:rsid w:val="00A01125"/>
    <w:rsid w:val="00A02B04"/>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D7E"/>
    <w:rsid w:val="00CC3018"/>
    <w:rsid w:val="00CC6347"/>
    <w:rsid w:val="00CC6A35"/>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13739"/>
    <w:rsid w:val="00E147D7"/>
    <w:rsid w:val="00E14F58"/>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semiHidden/>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245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15745102">
      <w:bodyDiv w:val="1"/>
      <w:marLeft w:val="0"/>
      <w:marRight w:val="0"/>
      <w:marTop w:val="0"/>
      <w:marBottom w:val="0"/>
      <w:divBdr>
        <w:top w:val="none" w:sz="0" w:space="0" w:color="auto"/>
        <w:left w:val="none" w:sz="0" w:space="0" w:color="auto"/>
        <w:bottom w:val="none" w:sz="0" w:space="0" w:color="auto"/>
        <w:right w:val="none" w:sz="0" w:space="0" w:color="auto"/>
      </w:divBdr>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573&amp;X=2" TargetMode="External"/><Relationship Id="rId13" Type="http://schemas.openxmlformats.org/officeDocument/2006/relationships/hyperlink" Target="http://beck-online.beck.de/Default.aspx?typ=reference&amp;y=100&amp;G=GG&amp;A=1"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573" TargetMode="External"/><Relationship Id="rId12" Type="http://schemas.openxmlformats.org/officeDocument/2006/relationships/hyperlink" Target="http://beck-online.beck.de/Default.aspx?typ=reference&amp;y=100&amp;G=EUGRCharta2007&amp;A=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BGB&amp;P=574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eck-online.beck.de/Default.aspx?typ=reference&amp;y=100&amp;G=BGB&amp;P=574"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573&amp;X=3" TargetMode="External"/><Relationship Id="rId14" Type="http://schemas.openxmlformats.org/officeDocument/2006/relationships/hyperlink" Target="http://beck-online.beck.de/Default.aspx?typ=reference&amp;y=100&amp;G=GG&amp;A=1&amp;X=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8c6401df-c507-4493-a3d9-b10a6e62eacf</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892B-26B8-4585-8391-5788D71DD664}">
  <ds:schemaRefs>
    <ds:schemaRef ds:uri="http://www.datev.de/BSOffice/999929"/>
  </ds:schemaRefs>
</ds:datastoreItem>
</file>

<file path=customXml/itemProps2.xml><?xml version="1.0" encoding="utf-8"?>
<ds:datastoreItem xmlns:ds="http://schemas.openxmlformats.org/officeDocument/2006/customXml" ds:itemID="{FE9FB72E-BBAD-46D7-8B43-A4EDD1F0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8528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3</cp:revision>
  <cp:lastPrinted>2019-01-17T09:30:00Z</cp:lastPrinted>
  <dcterms:created xsi:type="dcterms:W3CDTF">2021-03-25T15:13:00Z</dcterms:created>
  <dcterms:modified xsi:type="dcterms:W3CDTF">2021-03-31T05:33:00Z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BETREFF">
    <vt:lpwstr>Mandantenrundbrief April 2021</vt:lpwstr>
  </property>
  <property fmtid="{D5CDD505-2E9C-101B-9397-08002B2CF9AE}" pid="5" name="DATEV-DMS_DOKU_NR">
    <vt:lpwstr>567921</vt:lpwstr>
  </property>
</Properties>
</file>