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Default="001745A0" w:rsidP="00F16BD1">
      <w:pPr>
        <w:pStyle w:val="KeinLeerraum"/>
        <w:jc w:val="both"/>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FF6B28">
                              <w:rPr>
                                <w:b/>
                                <w:sz w:val="28"/>
                              </w:rPr>
                              <w:t>November</w:t>
                            </w:r>
                            <w:r w:rsidR="00DE2136">
                              <w:rPr>
                                <w:b/>
                                <w:sz w:val="28"/>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FF6B28">
                        <w:rPr>
                          <w:b/>
                          <w:sz w:val="28"/>
                        </w:rPr>
                        <w:t>November</w:t>
                      </w:r>
                      <w:r w:rsidR="00DE2136">
                        <w:rPr>
                          <w:b/>
                          <w:sz w:val="28"/>
                        </w:rPr>
                        <w:t xml:space="preserve"> 2020</w:t>
                      </w:r>
                    </w:p>
                  </w:txbxContent>
                </v:textbox>
              </v:shape>
            </w:pict>
          </mc:Fallback>
        </mc:AlternateContent>
      </w:r>
    </w:p>
    <w:p w:rsidR="001745A0" w:rsidRDefault="001745A0" w:rsidP="00F16BD1">
      <w:pPr>
        <w:pStyle w:val="KeinLeerraum"/>
        <w:jc w:val="both"/>
      </w:pPr>
    </w:p>
    <w:p w:rsidR="001745A0" w:rsidRDefault="001745A0" w:rsidP="00F16BD1">
      <w:pPr>
        <w:pStyle w:val="KeinLeerraum"/>
        <w:jc w:val="both"/>
      </w:pPr>
    </w:p>
    <w:p w:rsidR="001745A0" w:rsidRDefault="001745A0" w:rsidP="00F16BD1">
      <w:pPr>
        <w:pStyle w:val="KeinLeerraum"/>
        <w:jc w:val="both"/>
      </w:pPr>
    </w:p>
    <w:p w:rsidR="00CD1172" w:rsidRDefault="00CD1172" w:rsidP="00F16BD1">
      <w:pPr>
        <w:pStyle w:val="KeinLeerraum"/>
        <w:jc w:val="both"/>
        <w:rPr>
          <w:rStyle w:val="zit"/>
        </w:rPr>
      </w:pPr>
    </w:p>
    <w:p w:rsidR="00F35C8F" w:rsidRDefault="00F35C8F" w:rsidP="00F761A4">
      <w:pPr>
        <w:pStyle w:val="KeinLeerraum"/>
        <w:jc w:val="both"/>
        <w:rPr>
          <w:rFonts w:cs="Times New Roman"/>
        </w:rPr>
      </w:pPr>
    </w:p>
    <w:p w:rsidR="00F35C8F" w:rsidRPr="00F35C8F" w:rsidRDefault="00F35C8F" w:rsidP="00F761A4">
      <w:pPr>
        <w:pStyle w:val="KeinLeerraum"/>
        <w:jc w:val="both"/>
        <w:rPr>
          <w:rFonts w:cs="Times New Roman"/>
          <w:b/>
        </w:rPr>
      </w:pPr>
      <w:r w:rsidRPr="00F35C8F">
        <w:rPr>
          <w:rFonts w:cs="Times New Roman"/>
          <w:b/>
        </w:rPr>
        <w:t>Kündigung wegen Störung des Hausfriedens</w:t>
      </w:r>
    </w:p>
    <w:p w:rsidR="00F35C8F" w:rsidRDefault="00F35C8F" w:rsidP="00F35C8F">
      <w:pPr>
        <w:pStyle w:val="StandardWeb"/>
      </w:pPr>
      <w:r>
        <w:t>Mit Beschluß vom 25.08.2020 hat der BGH Folgendes entschieden: Eine Mie</w:t>
      </w:r>
      <w:r>
        <w:softHyphen/>
        <w:t>te</w:t>
      </w:r>
      <w:r>
        <w:softHyphen/>
        <w:t>rin, die jah</w:t>
      </w:r>
      <w:r>
        <w:softHyphen/>
        <w:t>re</w:t>
      </w:r>
      <w:r>
        <w:softHyphen/>
        <w:t>lang mit den an</w:t>
      </w:r>
      <w:r>
        <w:softHyphen/>
        <w:t>de</w:t>
      </w:r>
      <w:r>
        <w:softHyphen/>
        <w:t>ren Haus</w:t>
      </w:r>
      <w:r>
        <w:softHyphen/>
        <w:t>be</w:t>
      </w:r>
      <w:r>
        <w:softHyphen/>
        <w:t>woh</w:t>
      </w:r>
      <w:r>
        <w:softHyphen/>
        <w:t>nern im Streit liegt, stört nach</w:t>
      </w:r>
      <w:r>
        <w:softHyphen/>
        <w:t>hal</w:t>
      </w:r>
      <w:r>
        <w:softHyphen/>
        <w:t>tig den Haus</w:t>
      </w:r>
      <w:r>
        <w:softHyphen/>
        <w:t>frie</w:t>
      </w:r>
      <w:r>
        <w:softHyphen/>
        <w:t>den und muss ihre Woh</w:t>
      </w:r>
      <w:r>
        <w:softHyphen/>
        <w:t>nung räu</w:t>
      </w:r>
      <w:r>
        <w:softHyphen/>
        <w:t>men. Das Ver</w:t>
      </w:r>
      <w:r>
        <w:softHyphen/>
        <w:t>hal</w:t>
      </w:r>
      <w:r>
        <w:softHyphen/>
        <w:t>ten ihres Le</w:t>
      </w:r>
      <w:r>
        <w:softHyphen/>
        <w:t>bens</w:t>
      </w:r>
      <w:r>
        <w:softHyphen/>
        <w:t>ge</w:t>
      </w:r>
      <w:r>
        <w:softHyphen/>
        <w:t>fähr</w:t>
      </w:r>
      <w:r>
        <w:softHyphen/>
        <w:t>ten, der sich mit ihrem Ein</w:t>
      </w:r>
      <w:r>
        <w:softHyphen/>
        <w:t>ver</w:t>
      </w:r>
      <w:r>
        <w:softHyphen/>
        <w:t>ständ</w:t>
      </w:r>
      <w:r>
        <w:softHyphen/>
        <w:t>nis in der Woh</w:t>
      </w:r>
      <w:r>
        <w:softHyphen/>
        <w:t>nung auf</w:t>
      </w:r>
      <w:r>
        <w:softHyphen/>
        <w:t>hält und Mit</w:t>
      </w:r>
      <w:r>
        <w:softHyphen/>
        <w:t>mie</w:t>
      </w:r>
      <w:r>
        <w:softHyphen/>
        <w:t>ter be</w:t>
      </w:r>
      <w:r>
        <w:softHyphen/>
        <w:t>lei</w:t>
      </w:r>
      <w:r>
        <w:softHyphen/>
        <w:t>digt sowie be</w:t>
      </w:r>
      <w:r>
        <w:softHyphen/>
        <w:t>droht, kann zu ihren Las</w:t>
      </w:r>
      <w:r>
        <w:softHyphen/>
        <w:t>ten be</w:t>
      </w:r>
      <w:r>
        <w:softHyphen/>
        <w:t>rück</w:t>
      </w:r>
      <w:r>
        <w:softHyphen/>
        <w:t>sich</w:t>
      </w:r>
      <w:r>
        <w:softHyphen/>
        <w:t>tigt wer</w:t>
      </w:r>
      <w:r>
        <w:softHyphen/>
        <w:t xml:space="preserve">den. Der Antrag auf einstweilige Einstellung der Zwangsvollstreckung blieb vor dem </w:t>
      </w:r>
      <w:r w:rsidRPr="00F35C8F">
        <w:t>BGH</w:t>
      </w:r>
      <w:r>
        <w:t xml:space="preserve"> ohne Erfolg. Eine der Voraussetzungen des </w:t>
      </w:r>
      <w:r w:rsidRPr="00F35C8F">
        <w:t xml:space="preserve">§ </w:t>
      </w:r>
      <w:hyperlink r:id="rId7" w:history="1">
        <w:r w:rsidRPr="00F35C8F">
          <w:t>719</w:t>
        </w:r>
      </w:hyperlink>
      <w:r w:rsidRPr="00F35C8F">
        <w:t xml:space="preserve"> Abs. </w:t>
      </w:r>
      <w:hyperlink r:id="rId8" w:history="1">
        <w:r w:rsidRPr="00F35C8F">
          <w:t>2</w:t>
        </w:r>
      </w:hyperlink>
      <w:r w:rsidRPr="00F35C8F">
        <w:t xml:space="preserve"> ZPO</w:t>
      </w:r>
      <w:r>
        <w:t xml:space="preserve"> sei, dass der Angriff auf die Kündigung erfolgversprechend sei. Dies sei bei der eingelegten Nichtzulassungsbeschwerde nicht der Fall:  Aus Sicht der Karlsruher Richter war die Entscheidung des </w:t>
      </w:r>
      <w:r w:rsidRPr="00F35C8F">
        <w:t>LG München I</w:t>
      </w:r>
      <w:r>
        <w:t xml:space="preserve"> korrekt. Der Ansicht der Mieterin, das "nur wenige Tage" andauernde Verhalten habe eine Kündigung nicht gerechtfertigt, habe das Landgericht nicht folgen müssen. Hierin liegt nach Einschätzung des VIII. Zivilsenats auch keine Gehörsverletzung. Vielmehr hätten die Münchener Richter Dauer und Umfang der erheblichen Vertragsverletzungen nach </w:t>
      </w:r>
      <w:r w:rsidRPr="00F35C8F">
        <w:t xml:space="preserve">§ </w:t>
      </w:r>
      <w:hyperlink r:id="rId9" w:history="1">
        <w:r w:rsidRPr="00F35C8F">
          <w:t>573</w:t>
        </w:r>
      </w:hyperlink>
      <w:r w:rsidRPr="00F35C8F">
        <w:t xml:space="preserve"> Abs. </w:t>
      </w:r>
      <w:hyperlink r:id="rId10" w:history="1">
        <w:r w:rsidRPr="00F35C8F">
          <w:t>1</w:t>
        </w:r>
      </w:hyperlink>
      <w:r w:rsidRPr="00F35C8F">
        <w:t xml:space="preserve">, </w:t>
      </w:r>
      <w:hyperlink r:id="rId11" w:history="1">
        <w:r w:rsidRPr="00F35C8F">
          <w:t>2</w:t>
        </w:r>
      </w:hyperlink>
      <w:r w:rsidRPr="00F35C8F">
        <w:t xml:space="preserve"> Nr. 1 BGB</w:t>
      </w:r>
      <w:r>
        <w:t xml:space="preserve"> durchaus gesehen. Dabei seien sie zu Recht von einem bereits "alten Streit" ausgegangen, hätten die einzelnen Vorfälle ausdrücklich erwähnt und seien nach einer Gesamtwürdigung zu dem Ergebnis gelangt, dass den Vermieterinnen ein Recht zur ordentlichen Kündigung zustehe. Dem </w:t>
      </w:r>
      <w:r w:rsidRPr="00F35C8F">
        <w:t>BGH</w:t>
      </w:r>
      <w:r>
        <w:t xml:space="preserve"> zufolge hat das bayerische Gericht auch den Begriff der "Nachhaltigkeit" der Störung des Hausfriedens zutreffend eingeordnet. Die Mieterin habe die nach </w:t>
      </w:r>
      <w:r w:rsidRPr="00F35C8F">
        <w:t xml:space="preserve">§ </w:t>
      </w:r>
      <w:hyperlink r:id="rId12" w:history="1">
        <w:r w:rsidRPr="00F35C8F">
          <w:t>241</w:t>
        </w:r>
      </w:hyperlink>
      <w:r w:rsidRPr="00F35C8F">
        <w:t xml:space="preserve"> Abs. </w:t>
      </w:r>
      <w:hyperlink r:id="rId13" w:history="1">
        <w:r w:rsidRPr="00F35C8F">
          <w:t>2</w:t>
        </w:r>
      </w:hyperlink>
      <w:r w:rsidRPr="00F35C8F">
        <w:t xml:space="preserve"> BGB</w:t>
      </w:r>
      <w:r>
        <w:t xml:space="preserve"> aus dem Gebot der gegenseitigen Rücksichtnahme folgende Pflicht, sich bei der Nutzung der Mietsache so zu verhalten, dass die anderen Mieter nicht mehr als unvermeidlich ge</w:t>
      </w:r>
      <w:r>
        <w:t>stört werden, in schwerwiegender Weise verletzt.</w:t>
      </w:r>
    </w:p>
    <w:p w:rsidR="00784DA9" w:rsidRPr="00D01CA3" w:rsidRDefault="001F619D" w:rsidP="00D01CA3">
      <w:pPr>
        <w:pStyle w:val="StandardWeb"/>
        <w:rPr>
          <w:b/>
        </w:rPr>
      </w:pPr>
      <w:r w:rsidRPr="001F619D">
        <w:rPr>
          <w:b/>
        </w:rPr>
        <w:t>Unwirksamkeit einer Rechtzeitigkeitklausel in Formularmietverträgen</w:t>
      </w:r>
    </w:p>
    <w:p w:rsidR="001F619D" w:rsidRDefault="001F619D" w:rsidP="00D76018">
      <w:pPr>
        <w:pStyle w:val="KeinLeerraum"/>
        <w:jc w:val="both"/>
        <w:rPr>
          <w:rFonts w:cs="Times New Roman"/>
        </w:rPr>
      </w:pPr>
      <w:r w:rsidRPr="001F619D">
        <w:rPr>
          <w:rFonts w:cs="Times New Roman"/>
        </w:rPr>
        <w:t xml:space="preserve">Das </w:t>
      </w:r>
      <w:r w:rsidRPr="001F619D">
        <w:rPr>
          <w:rFonts w:cs="Times New Roman"/>
          <w:b/>
        </w:rPr>
        <w:t>Landgericht Mannheim</w:t>
      </w:r>
      <w:r w:rsidRPr="001F619D">
        <w:rPr>
          <w:rFonts w:cs="Times New Roman"/>
        </w:rPr>
        <w:t xml:space="preserve"> hat mit Urteil vom 08.07.2020 entschieden, dass eine Klausel im Formularmietvertrag über Wohnraum de</w:t>
      </w:r>
      <w:r>
        <w:rPr>
          <w:rFonts w:cs="Times New Roman"/>
        </w:rPr>
        <w:t>n</w:t>
      </w:r>
      <w:r w:rsidRPr="001F619D">
        <w:rPr>
          <w:rFonts w:cs="Times New Roman"/>
        </w:rPr>
        <w:t xml:space="preserve"> Mieter unangemessen benachteiligt, wenn es für die Rechtzeitigkeit der Zahlung auf den Eingang der Zahlung beim Vermieter ankommt. Diese Klausel ist nach § 307 Abs. 1 BGB unwirksam, da dem Mieter dann auch Verzögerungen des Kreditinstitutes zugerechnet würden. Dies führt zur Unwirksamkeit auch der Regelung, wonach die Miete bis zum 3. Werktag des Monats im Voraus zu zahlen ist. Zwar sind solche Klauseln grundsätzlich auch in Allgemeinen Geschäftsbedingungen wirksam. Hier bilden </w:t>
      </w:r>
      <w:r>
        <w:rPr>
          <w:rFonts w:cs="Times New Roman"/>
        </w:rPr>
        <w:t>Vorf</w:t>
      </w:r>
      <w:r w:rsidRPr="001F619D">
        <w:rPr>
          <w:rFonts w:cs="Times New Roman"/>
        </w:rPr>
        <w:t xml:space="preserve">älligkeits- und </w:t>
      </w:r>
      <w:r>
        <w:rPr>
          <w:rFonts w:cs="Times New Roman"/>
        </w:rPr>
        <w:t>Rechtzeitigkeitsklausel</w:t>
      </w:r>
      <w:r w:rsidRPr="001F619D">
        <w:rPr>
          <w:rFonts w:cs="Times New Roman"/>
        </w:rPr>
        <w:t xml:space="preserve"> jedoch </w:t>
      </w:r>
      <w:r>
        <w:rPr>
          <w:rFonts w:cs="Times New Roman"/>
        </w:rPr>
        <w:t>eine Einheit</w:t>
      </w:r>
      <w:r w:rsidRPr="001F619D">
        <w:rPr>
          <w:rFonts w:cs="Times New Roman"/>
        </w:rPr>
        <w:t xml:space="preserve"> sodass die Aufrechterhaltung der ersteren auf eine unzulässige g</w:t>
      </w:r>
      <w:r>
        <w:rPr>
          <w:rFonts w:cs="Times New Roman"/>
        </w:rPr>
        <w:t>eltungserhaltende Reduktion</w:t>
      </w:r>
      <w:r w:rsidRPr="001F619D">
        <w:rPr>
          <w:rFonts w:cs="Times New Roman"/>
        </w:rPr>
        <w:t xml:space="preserve"> hinausliefe.</w:t>
      </w:r>
      <w:r>
        <w:rPr>
          <w:rFonts w:cs="Times New Roman"/>
        </w:rPr>
        <w:t xml:space="preserve"> </w:t>
      </w:r>
      <w:r w:rsidRPr="001F619D">
        <w:rPr>
          <w:rFonts w:cs="Times New Roman"/>
        </w:rPr>
        <w:t>Somit gilt gemäß Art. 229 § 3 Abs. 1 Nr. 7 EGBGB nicht § 556 BGB Abs. 1 BGB, sondern weiterhin § 551 BGB alte Fassung, da es sich um einen als Mietvertrag handelt. Die Miete war somit erst am Ende des Monats zu entrichten.</w:t>
      </w:r>
    </w:p>
    <w:p w:rsidR="001F619D" w:rsidRDefault="001F619D" w:rsidP="00D76018">
      <w:pPr>
        <w:pStyle w:val="KeinLeerraum"/>
        <w:jc w:val="both"/>
        <w:rPr>
          <w:rFonts w:cs="Times New Roman"/>
        </w:rPr>
      </w:pPr>
    </w:p>
    <w:p w:rsidR="001F619D" w:rsidRPr="001F619D" w:rsidRDefault="001F619D" w:rsidP="00D76018">
      <w:pPr>
        <w:pStyle w:val="KeinLeerraum"/>
        <w:jc w:val="both"/>
        <w:rPr>
          <w:rFonts w:cs="Times New Roman"/>
          <w:b/>
        </w:rPr>
      </w:pPr>
      <w:r w:rsidRPr="001F619D">
        <w:rPr>
          <w:rFonts w:cs="Times New Roman"/>
          <w:b/>
        </w:rPr>
        <w:t>Zahlung unter Vorbehalt ist keine Zustimmung zur Mieterhöhung</w:t>
      </w:r>
    </w:p>
    <w:p w:rsidR="001F619D" w:rsidRDefault="001F619D" w:rsidP="00D76018">
      <w:pPr>
        <w:pStyle w:val="KeinLeerraum"/>
        <w:jc w:val="both"/>
        <w:rPr>
          <w:rFonts w:cs="Times New Roman"/>
        </w:rPr>
      </w:pPr>
    </w:p>
    <w:p w:rsidR="001F619D" w:rsidRDefault="001F619D" w:rsidP="00D76018">
      <w:pPr>
        <w:pStyle w:val="KeinLeerraum"/>
        <w:jc w:val="both"/>
        <w:rPr>
          <w:rFonts w:cs="Times New Roman"/>
        </w:rPr>
      </w:pPr>
      <w:r w:rsidRPr="001F619D">
        <w:rPr>
          <w:rFonts w:cs="Times New Roman"/>
        </w:rPr>
        <w:t xml:space="preserve">Das </w:t>
      </w:r>
      <w:r w:rsidRPr="001F619D">
        <w:rPr>
          <w:rFonts w:cs="Times New Roman"/>
          <w:b/>
        </w:rPr>
        <w:t>Landgericht Berlin</w:t>
      </w:r>
      <w:r w:rsidRPr="001F619D">
        <w:rPr>
          <w:rFonts w:cs="Times New Roman"/>
        </w:rPr>
        <w:t xml:space="preserve"> hat mit Beschluss vom 25.06.2020 entschieden, dass eine Leistung der erhöhten Miete des Mieters nach Zugang eines auf § 558 BGB gestützten Mieterhöhungsverlangen keine konkludente Zustimmung zur begehrten Mieterhöhung darstellt.</w:t>
      </w:r>
    </w:p>
    <w:p w:rsidR="001F619D" w:rsidRDefault="001F619D" w:rsidP="00D76018">
      <w:pPr>
        <w:pStyle w:val="KeinLeerraum"/>
        <w:jc w:val="both"/>
        <w:rPr>
          <w:rFonts w:cs="Times New Roman"/>
        </w:rPr>
      </w:pPr>
    </w:p>
    <w:p w:rsidR="001F619D" w:rsidRPr="001F619D" w:rsidRDefault="001F619D" w:rsidP="00D76018">
      <w:pPr>
        <w:pStyle w:val="KeinLeerraum"/>
        <w:jc w:val="both"/>
        <w:rPr>
          <w:rFonts w:cs="Times New Roman"/>
          <w:b/>
        </w:rPr>
      </w:pPr>
      <w:r w:rsidRPr="001F619D">
        <w:rPr>
          <w:rFonts w:cs="Times New Roman"/>
          <w:b/>
        </w:rPr>
        <w:t>Wiederholt unpünktliche Mietzahlung nicht immer ein Kündigungsgrund</w:t>
      </w:r>
    </w:p>
    <w:p w:rsidR="001F619D" w:rsidRDefault="001F619D" w:rsidP="00D76018">
      <w:pPr>
        <w:pStyle w:val="KeinLeerraum"/>
        <w:jc w:val="both"/>
        <w:rPr>
          <w:rFonts w:cs="Times New Roman"/>
        </w:rPr>
      </w:pPr>
    </w:p>
    <w:p w:rsidR="001F619D" w:rsidRDefault="001F619D" w:rsidP="00D76018">
      <w:pPr>
        <w:pStyle w:val="KeinLeerraum"/>
        <w:jc w:val="both"/>
        <w:rPr>
          <w:rFonts w:cs="Times New Roman"/>
        </w:rPr>
      </w:pPr>
      <w:r w:rsidRPr="001F619D">
        <w:rPr>
          <w:rFonts w:cs="Times New Roman"/>
        </w:rPr>
        <w:t xml:space="preserve">Das </w:t>
      </w:r>
      <w:r w:rsidRPr="001F619D">
        <w:rPr>
          <w:rFonts w:cs="Times New Roman"/>
          <w:b/>
        </w:rPr>
        <w:t>Landgericht Leipzig</w:t>
      </w:r>
      <w:r w:rsidRPr="001F619D">
        <w:rPr>
          <w:rFonts w:cs="Times New Roman"/>
        </w:rPr>
        <w:t xml:space="preserve"> hat mit Urteil vom 12.05.2020 entschieden, dass dann, wenn eine wiederholte unpünktliche Mietzahlung einen Kündigungsgrund liefern soll, die Kündigung zeitnah zu den Vertragsverstößen des Mieters erfolgen, somit ein entsprechender Zusammenhang klar erkennbar sein muss</w:t>
      </w:r>
      <w:r>
        <w:rPr>
          <w:rFonts w:cs="Times New Roman"/>
        </w:rPr>
        <w:t xml:space="preserve">. </w:t>
      </w:r>
      <w:r w:rsidRPr="001F619D">
        <w:rPr>
          <w:rFonts w:cs="Times New Roman"/>
        </w:rPr>
        <w:t xml:space="preserve">Mehr als 1 1/2 Jahre nach den verspäteten Zahlungen scheidet die Annahme oder Erwägung, dass die Fortsetzung des Mietverhältnisses für den Vermieter </w:t>
      </w:r>
      <w:r>
        <w:rPr>
          <w:rFonts w:cs="Times New Roman"/>
        </w:rPr>
        <w:t>u</w:t>
      </w:r>
      <w:r w:rsidRPr="001F619D">
        <w:rPr>
          <w:rFonts w:cs="Times New Roman"/>
        </w:rPr>
        <w:t xml:space="preserve">nzumutbar ist, bereits denklogisch </w:t>
      </w:r>
      <w:r w:rsidRPr="001F619D">
        <w:rPr>
          <w:rFonts w:cs="Times New Roman"/>
        </w:rPr>
        <w:lastRenderedPageBreak/>
        <w:t>aus. Bereits dieser gerade aufgezeigte Zeitablauf zwischen der unpünktlichen Mietzahlung und dem Ausspruch der Kündigung belegt, dass das Mietverhältnis für den Vermieter ganz offensichtlich nicht unzumutbar gewesen ist.</w:t>
      </w:r>
    </w:p>
    <w:p w:rsidR="001F619D" w:rsidRDefault="001F619D" w:rsidP="00D76018">
      <w:pPr>
        <w:pStyle w:val="KeinLeerraum"/>
        <w:jc w:val="both"/>
        <w:rPr>
          <w:rFonts w:cs="Times New Roman"/>
        </w:rPr>
      </w:pPr>
    </w:p>
    <w:p w:rsidR="001F619D" w:rsidRPr="001F619D" w:rsidRDefault="001F619D" w:rsidP="00D76018">
      <w:pPr>
        <w:pStyle w:val="KeinLeerraum"/>
        <w:jc w:val="both"/>
        <w:rPr>
          <w:rFonts w:cs="Times New Roman"/>
          <w:b/>
        </w:rPr>
      </w:pPr>
      <w:r w:rsidRPr="001F619D">
        <w:rPr>
          <w:rFonts w:cs="Times New Roman"/>
          <w:b/>
        </w:rPr>
        <w:t>Schönheitsreparaturen bei kräftigen Latexfarbe</w:t>
      </w:r>
      <w:r w:rsidR="003A1A53">
        <w:rPr>
          <w:rFonts w:cs="Times New Roman"/>
          <w:b/>
        </w:rPr>
        <w:t>n</w:t>
      </w:r>
      <w:bookmarkStart w:id="0" w:name="_GoBack"/>
      <w:bookmarkEnd w:id="0"/>
      <w:r w:rsidRPr="001F619D">
        <w:rPr>
          <w:rFonts w:cs="Times New Roman"/>
          <w:b/>
        </w:rPr>
        <w:t xml:space="preserve"> an den Wänden</w:t>
      </w:r>
    </w:p>
    <w:p w:rsidR="001F619D" w:rsidRDefault="001F619D" w:rsidP="00D76018">
      <w:pPr>
        <w:pStyle w:val="KeinLeerraum"/>
        <w:jc w:val="both"/>
        <w:rPr>
          <w:rFonts w:cs="Times New Roman"/>
        </w:rPr>
      </w:pPr>
    </w:p>
    <w:p w:rsidR="001F619D" w:rsidRDefault="001F619D" w:rsidP="00D76018">
      <w:pPr>
        <w:pStyle w:val="KeinLeerraum"/>
        <w:jc w:val="both"/>
        <w:rPr>
          <w:rFonts w:cs="Times New Roman"/>
        </w:rPr>
      </w:pPr>
      <w:r w:rsidRPr="001F619D">
        <w:rPr>
          <w:rFonts w:cs="Times New Roman"/>
        </w:rPr>
        <w:t xml:space="preserve">Das </w:t>
      </w:r>
      <w:r w:rsidRPr="0012316C">
        <w:rPr>
          <w:rFonts w:cs="Times New Roman"/>
          <w:b/>
        </w:rPr>
        <w:t>Landgericht Wuppertal</w:t>
      </w:r>
      <w:r w:rsidRPr="001F619D">
        <w:rPr>
          <w:rFonts w:cs="Times New Roman"/>
        </w:rPr>
        <w:t xml:space="preserve"> hat mit Urteil vom 06.07.2020 entschieden, dass und </w:t>
      </w:r>
      <w:r w:rsidR="0012316C">
        <w:rPr>
          <w:rFonts w:cs="Times New Roman"/>
        </w:rPr>
        <w:t>Dü</w:t>
      </w:r>
      <w:r w:rsidRPr="001F619D">
        <w:rPr>
          <w:rFonts w:cs="Times New Roman"/>
        </w:rPr>
        <w:t xml:space="preserve">bel bei der Beendigung des Mietverhältnisses zu entfernen und die Löcher fachgerecht zu verschließen sind. Wird der Wohnraummieter </w:t>
      </w:r>
      <w:r w:rsidR="0012316C">
        <w:rPr>
          <w:rFonts w:cs="Times New Roman"/>
        </w:rPr>
        <w:t>verpflichtet</w:t>
      </w:r>
      <w:r w:rsidRPr="001F619D">
        <w:rPr>
          <w:rFonts w:cs="Times New Roman"/>
        </w:rPr>
        <w:t>, die Wohnung weiß gestrichen zurückzugeben, liegt darin eine unangemessene Einengung des Mieters hinsichtlich der Farbwahl. Dies kann zur Unwirksamkeit der formularmäßigen Abwälzung der Schönheitsreparaturen auf den Mieter insgesamt führen. Sind die Wände jedoch durch den Mieter mit kräftigen Latexfarbe in angestrichen, muss er dennoch die Kosten tragen, die für die erforderlichen Vorarbeiten betreffend der an den Wänden angebrachten kräftigen Latexfarbe nötig sind.</w:t>
      </w:r>
    </w:p>
    <w:p w:rsidR="0012316C" w:rsidRDefault="0012316C" w:rsidP="00D76018">
      <w:pPr>
        <w:pStyle w:val="KeinLeerraum"/>
        <w:jc w:val="both"/>
        <w:rPr>
          <w:rFonts w:cs="Times New Roman"/>
        </w:rPr>
      </w:pPr>
    </w:p>
    <w:p w:rsidR="0012316C" w:rsidRPr="0012316C" w:rsidRDefault="0012316C" w:rsidP="00D76018">
      <w:pPr>
        <w:pStyle w:val="KeinLeerraum"/>
        <w:jc w:val="both"/>
        <w:rPr>
          <w:rFonts w:cs="Times New Roman"/>
          <w:b/>
        </w:rPr>
      </w:pPr>
      <w:r>
        <w:rPr>
          <w:rFonts w:cs="Times New Roman"/>
          <w:b/>
        </w:rPr>
        <w:t xml:space="preserve">Genossenschaftswidriges </w:t>
      </w:r>
      <w:r w:rsidRPr="0012316C">
        <w:rPr>
          <w:rFonts w:cs="Times New Roman"/>
          <w:b/>
        </w:rPr>
        <w:t>Verhalten, Ausschluss aus der Genossenschaft</w:t>
      </w:r>
    </w:p>
    <w:p w:rsidR="0012316C" w:rsidRDefault="0012316C" w:rsidP="00D76018">
      <w:pPr>
        <w:pStyle w:val="KeinLeerraum"/>
        <w:jc w:val="both"/>
        <w:rPr>
          <w:rFonts w:cs="Times New Roman"/>
        </w:rPr>
      </w:pPr>
    </w:p>
    <w:p w:rsidR="0012316C" w:rsidRDefault="0012316C" w:rsidP="00D76018">
      <w:pPr>
        <w:pStyle w:val="KeinLeerraum"/>
        <w:jc w:val="both"/>
        <w:rPr>
          <w:rFonts w:cs="Times New Roman"/>
        </w:rPr>
      </w:pPr>
      <w:r w:rsidRPr="0012316C">
        <w:rPr>
          <w:rFonts w:cs="Times New Roman"/>
        </w:rPr>
        <w:t xml:space="preserve">Das </w:t>
      </w:r>
      <w:r w:rsidRPr="0012316C">
        <w:rPr>
          <w:rFonts w:cs="Times New Roman"/>
          <w:b/>
        </w:rPr>
        <w:t>Amtsgericht Hamburg Sankt Georg</w:t>
      </w:r>
      <w:r w:rsidRPr="0012316C">
        <w:rPr>
          <w:rFonts w:cs="Times New Roman"/>
        </w:rPr>
        <w:t xml:space="preserve"> hat mit Urteil vom 11.06.2020 entschieden, dass ein Ausschluss aus einer Wohnungsbaugenossenschaft wegen </w:t>
      </w:r>
      <w:r>
        <w:rPr>
          <w:rFonts w:cs="Times New Roman"/>
        </w:rPr>
        <w:t>genossenschaftswidrigen</w:t>
      </w:r>
      <w:r w:rsidRPr="0012316C">
        <w:rPr>
          <w:rFonts w:cs="Times New Roman"/>
        </w:rPr>
        <w:t>Verhalten gerichtlich nur auf seine sachliche Rechtfertigung, nicht auf Zweckmäßigkeit und Ermessensausübung überprüft wird. Wer trotz Abmahnung als Mieter und Genosse die Mitarbeiter damit bedroht, sie im Internet bloß zu s</w:t>
      </w:r>
      <w:r>
        <w:rPr>
          <w:rFonts w:cs="Times New Roman"/>
        </w:rPr>
        <w:t>tellen (öffentlichkeitswirksamer Pranger), der verhält sich genossenschafts</w:t>
      </w:r>
      <w:r w:rsidRPr="0012316C">
        <w:rPr>
          <w:rFonts w:cs="Times New Roman"/>
        </w:rPr>
        <w:t>widrig</w:t>
      </w:r>
      <w:r>
        <w:rPr>
          <w:rFonts w:cs="Times New Roman"/>
        </w:rPr>
        <w:t>.</w:t>
      </w:r>
    </w:p>
    <w:p w:rsidR="0012316C" w:rsidRDefault="0012316C" w:rsidP="00D76018">
      <w:pPr>
        <w:pStyle w:val="KeinLeerraum"/>
        <w:jc w:val="both"/>
        <w:rPr>
          <w:rFonts w:cs="Times New Roman"/>
        </w:rPr>
      </w:pPr>
    </w:p>
    <w:p w:rsidR="0012316C" w:rsidRPr="0012316C" w:rsidRDefault="0012316C" w:rsidP="0012316C">
      <w:pPr>
        <w:pStyle w:val="KeinLeerraum"/>
        <w:jc w:val="both"/>
        <w:rPr>
          <w:rFonts w:cs="Times New Roman"/>
          <w:b/>
        </w:rPr>
      </w:pPr>
      <w:r>
        <w:rPr>
          <w:rFonts w:cs="Times New Roman"/>
          <w:b/>
        </w:rPr>
        <w:t>Mängelbeseitigung setzt</w:t>
      </w:r>
      <w:r w:rsidRPr="0012316C">
        <w:rPr>
          <w:rFonts w:cs="Times New Roman"/>
          <w:b/>
        </w:rPr>
        <w:t xml:space="preserve"> Mängelanzeige voraus</w:t>
      </w:r>
    </w:p>
    <w:p w:rsidR="0012316C" w:rsidRPr="0012316C" w:rsidRDefault="0012316C" w:rsidP="0012316C">
      <w:pPr>
        <w:pStyle w:val="KeinLeerraum"/>
        <w:jc w:val="both"/>
        <w:rPr>
          <w:rFonts w:cs="Times New Roman"/>
        </w:rPr>
      </w:pPr>
    </w:p>
    <w:p w:rsidR="0012316C" w:rsidRDefault="0012316C" w:rsidP="0012316C">
      <w:pPr>
        <w:pStyle w:val="KeinLeerraum"/>
        <w:jc w:val="both"/>
        <w:rPr>
          <w:rFonts w:cs="Times New Roman"/>
        </w:rPr>
      </w:pPr>
      <w:r>
        <w:rPr>
          <w:rFonts w:cs="Times New Roman"/>
        </w:rPr>
        <w:t>D</w:t>
      </w:r>
      <w:r w:rsidRPr="0012316C">
        <w:rPr>
          <w:rFonts w:cs="Times New Roman"/>
        </w:rPr>
        <w:t xml:space="preserve">as </w:t>
      </w:r>
      <w:r w:rsidRPr="0012316C">
        <w:rPr>
          <w:rFonts w:cs="Times New Roman"/>
          <w:b/>
        </w:rPr>
        <w:t>Oberlandesgericht Rostock</w:t>
      </w:r>
      <w:r w:rsidRPr="0012316C">
        <w:rPr>
          <w:rFonts w:cs="Times New Roman"/>
        </w:rPr>
        <w:t xml:space="preserve"> hat mit Beschluss vom 03.08.2020 festgestellt, dass der Mängelbeseitigungsanspruch bereits mit Entstehen des Mangels fällig ist, die Pflicht des Vermieters zur Beseitigung des Mangels in der Regel aber eine Mängelanzeige voraus</w:t>
      </w:r>
      <w:r>
        <w:rPr>
          <w:rFonts w:cs="Times New Roman"/>
        </w:rPr>
        <w:t>setzt. W</w:t>
      </w:r>
      <w:r w:rsidRPr="0012316C">
        <w:rPr>
          <w:rFonts w:cs="Times New Roman"/>
        </w:rPr>
        <w:t>eitere Voraussetzung für den Schadensersatz ist ein Verzug, dessen Voraussetzungen sich aus § 286 BGB ergeben. Ob in der Mängelanzeige gleichzeitig eine Mahnung liegt, ist nach dem Erklärungsinhalt und den Umstände des Einzelfalls zu beurteilen</w:t>
      </w:r>
      <w:r>
        <w:rPr>
          <w:rFonts w:cs="Times New Roman"/>
        </w:rPr>
        <w:t>.</w:t>
      </w:r>
      <w:r w:rsidRPr="0012316C">
        <w:t xml:space="preserve"> </w:t>
      </w:r>
      <w:r w:rsidRPr="0012316C">
        <w:rPr>
          <w:rFonts w:cs="Times New Roman"/>
        </w:rPr>
        <w:t>Das OLG Rostock hat einen Schadensersatzanspruch des Mieters verneint. Bei einem Mietverhältnis kommt eine Schadenshaftung nach § 280 Abs. 1 BGB nur in Betracht, wenn der Schaden nicht auf die Beschaffenheit der Mietsache zurückzuführen ist (ansonsten g</w:t>
      </w:r>
      <w:r w:rsidR="000C1705">
        <w:rPr>
          <w:rFonts w:cs="Times New Roman"/>
        </w:rPr>
        <w:t>ilt § 536a BGB als Lex Spezial i</w:t>
      </w:r>
      <w:r w:rsidRPr="0012316C">
        <w:rPr>
          <w:rFonts w:cs="Times New Roman"/>
        </w:rPr>
        <w:t>s</w:t>
      </w:r>
      <w:r w:rsidR="000C1705">
        <w:rPr>
          <w:rFonts w:cs="Times New Roman"/>
        </w:rPr>
        <w:t>)</w:t>
      </w:r>
      <w:r w:rsidRPr="0012316C">
        <w:rPr>
          <w:rFonts w:cs="Times New Roman"/>
        </w:rPr>
        <w:t>. Ein Schadensersatzanspruch des Mieters scheitert bereits an der Fälligkeit seines Anspruchs auf Mängelbeseitigung und einer grundsätzlich darauf gerichteten Mahnung</w:t>
      </w:r>
      <w:r w:rsidR="000C1705">
        <w:rPr>
          <w:rFonts w:cs="Times New Roman"/>
        </w:rPr>
        <w:t xml:space="preserve">. </w:t>
      </w:r>
      <w:r w:rsidR="000C1705" w:rsidRPr="000C1705">
        <w:rPr>
          <w:rFonts w:cs="Times New Roman"/>
        </w:rPr>
        <w:t>Der Vermieter haftet nicht, wenn ihn an der Verzögerung kein Verschulden trifft. Fällig ist ein Beseitigungsanspruch schon mit Entstehen des Mangels. Um einen Verzug zu begründen, bedarf es grundsätzlich einer Mahnung. Eine solche ist hier nicht festgestellt worden. Darüber hinaus setzt nach überwiegender Ansicht der Verzug des Vermieters mit der Beseitigung des Mangels voraus, dass er nicht ohne schuldhaftes Zögern nach Zugang der Mahnung die Leistung zur Beseitigung des Mangels in Auftrag gegeben hat. Hat der Vermieter die Beseitigung nicht unverzüglich beauftragt, endet sein Verzug jedenfal</w:t>
      </w:r>
      <w:r w:rsidR="000C1705">
        <w:rPr>
          <w:rFonts w:cs="Times New Roman"/>
        </w:rPr>
        <w:t>ls mit Beseitigung des Mangels. I</w:t>
      </w:r>
      <w:r w:rsidR="000C1705" w:rsidRPr="000C1705">
        <w:rPr>
          <w:rFonts w:cs="Times New Roman"/>
        </w:rPr>
        <w:t>st nach den Umständen des Einzelfalls nach Beseitigung der Symptome nicht mit einem wiederholten Auftreten des Mangels zu rechnen, kann sich der Vermieter darauf beschränken, die Ursache in der Weise zu beseitigen, dass er durch eine</w:t>
      </w:r>
      <w:r w:rsidR="000C1705">
        <w:rPr>
          <w:rFonts w:cs="Times New Roman"/>
        </w:rPr>
        <w:t xml:space="preserve"> Sanierung die beeinträchtigunglose </w:t>
      </w:r>
      <w:r w:rsidR="000C1705" w:rsidRPr="000C1705">
        <w:rPr>
          <w:rFonts w:cs="Times New Roman"/>
        </w:rPr>
        <w:t>Nutzungsmöglichkeit herstellt</w:t>
      </w:r>
      <w:r w:rsidR="000C1705">
        <w:rPr>
          <w:rFonts w:cs="Times New Roman"/>
        </w:rPr>
        <w:t>.</w:t>
      </w:r>
    </w:p>
    <w:p w:rsidR="000C1705" w:rsidRDefault="000C1705" w:rsidP="0012316C">
      <w:pPr>
        <w:pStyle w:val="KeinLeerraum"/>
        <w:jc w:val="both"/>
        <w:rPr>
          <w:rFonts w:cs="Times New Roman"/>
        </w:rPr>
      </w:pPr>
    </w:p>
    <w:p w:rsidR="000C1705" w:rsidRPr="000C1705" w:rsidRDefault="000C1705" w:rsidP="000C1705">
      <w:pPr>
        <w:pStyle w:val="KeinLeerraum"/>
        <w:jc w:val="both"/>
        <w:rPr>
          <w:rFonts w:cs="Times New Roman"/>
          <w:b/>
        </w:rPr>
      </w:pPr>
      <w:r w:rsidRPr="000C1705">
        <w:rPr>
          <w:rFonts w:cs="Times New Roman"/>
          <w:b/>
        </w:rPr>
        <w:t>Mieter muss Miete zahlen, auch bei Corona</w:t>
      </w:r>
    </w:p>
    <w:p w:rsidR="000C1705" w:rsidRPr="000C1705" w:rsidRDefault="000C1705" w:rsidP="000C1705">
      <w:pPr>
        <w:pStyle w:val="KeinLeerraum"/>
        <w:jc w:val="both"/>
        <w:rPr>
          <w:rFonts w:cs="Times New Roman"/>
        </w:rPr>
      </w:pPr>
    </w:p>
    <w:p w:rsidR="000C1705" w:rsidRDefault="000C1705" w:rsidP="000C1705">
      <w:pPr>
        <w:pStyle w:val="KeinLeerraum"/>
        <w:jc w:val="both"/>
        <w:rPr>
          <w:rFonts w:cs="Times New Roman"/>
        </w:rPr>
      </w:pPr>
      <w:r>
        <w:rPr>
          <w:rFonts w:cs="Times New Roman"/>
        </w:rPr>
        <w:t>D</w:t>
      </w:r>
      <w:r w:rsidRPr="000C1705">
        <w:rPr>
          <w:rFonts w:cs="Times New Roman"/>
        </w:rPr>
        <w:t xml:space="preserve">as </w:t>
      </w:r>
      <w:r w:rsidRPr="000C1705">
        <w:rPr>
          <w:rFonts w:cs="Times New Roman"/>
          <w:b/>
        </w:rPr>
        <w:t>Landgericht Frankfurt</w:t>
      </w:r>
      <w:r w:rsidRPr="000C1705">
        <w:rPr>
          <w:rFonts w:cs="Times New Roman"/>
        </w:rPr>
        <w:t xml:space="preserve"> hat mit Beschluss vom 07.08.2020 entschieden, dass die Kostenlast bei verspäteter Mietzahlung im Prozess dem Verwendungsrisiko des Mieters folgt diese grundsätzliche Risikoverteilung beruht bei Gewerberaummietverträgen auf einer gefestigten Rechtsprechung, da sich hier das typische Risiko allein des Mieters verwirklicht, wenn er im Mietobjekt keine Gewinne erzielt. Umsatzeinbußen gehen daher zu Lasten des Mieters. Die vom Gesetzgeber </w:t>
      </w:r>
      <w:r>
        <w:rPr>
          <w:rFonts w:cs="Times New Roman"/>
        </w:rPr>
        <w:t>verordnete</w:t>
      </w:r>
      <w:r w:rsidRPr="000C1705">
        <w:rPr>
          <w:rFonts w:cs="Times New Roman"/>
        </w:rPr>
        <w:t xml:space="preserve"> Kündigungssp</w:t>
      </w:r>
      <w:r>
        <w:rPr>
          <w:rFonts w:cs="Times New Roman"/>
        </w:rPr>
        <w:t>erre zugunsten des Gewerberaumm</w:t>
      </w:r>
      <w:r w:rsidRPr="000C1705">
        <w:rPr>
          <w:rFonts w:cs="Times New Roman"/>
        </w:rPr>
        <w:t>ieters lässt die weiter geltende Zahlungspflicht des Mieters unberührt.</w:t>
      </w:r>
    </w:p>
    <w:p w:rsidR="000C1705" w:rsidRDefault="000C1705" w:rsidP="000C1705">
      <w:pPr>
        <w:pStyle w:val="KeinLeerraum"/>
        <w:jc w:val="both"/>
        <w:rPr>
          <w:rFonts w:cs="Times New Roman"/>
        </w:rPr>
      </w:pPr>
    </w:p>
    <w:p w:rsidR="000C1705" w:rsidRPr="00961DE0" w:rsidRDefault="000C1705" w:rsidP="000C1705">
      <w:pPr>
        <w:pStyle w:val="KeinLeerraum"/>
        <w:jc w:val="both"/>
        <w:rPr>
          <w:rFonts w:cs="Times New Roman"/>
          <w:b/>
        </w:rPr>
      </w:pPr>
      <w:r w:rsidRPr="00961DE0">
        <w:rPr>
          <w:rFonts w:cs="Times New Roman"/>
          <w:b/>
        </w:rPr>
        <w:t>Fensteraustausch als (modernisierende) Instandsetzung bedarf keines Gesamtkonzepts</w:t>
      </w:r>
    </w:p>
    <w:p w:rsidR="00961DE0" w:rsidRPr="000C1705" w:rsidRDefault="00961DE0" w:rsidP="000C1705">
      <w:pPr>
        <w:pStyle w:val="KeinLeerraum"/>
        <w:jc w:val="both"/>
        <w:rPr>
          <w:rFonts w:cs="Times New Roman"/>
        </w:rPr>
      </w:pPr>
    </w:p>
    <w:p w:rsidR="000C1705" w:rsidRDefault="000C1705" w:rsidP="000C1705">
      <w:pPr>
        <w:pStyle w:val="KeinLeerraum"/>
        <w:jc w:val="both"/>
        <w:rPr>
          <w:rFonts w:cs="Times New Roman"/>
        </w:rPr>
      </w:pPr>
      <w:r w:rsidRPr="000C1705">
        <w:rPr>
          <w:rFonts w:cs="Times New Roman"/>
        </w:rPr>
        <w:t xml:space="preserve">Das </w:t>
      </w:r>
      <w:r w:rsidRPr="00961DE0">
        <w:rPr>
          <w:rFonts w:cs="Times New Roman"/>
          <w:b/>
        </w:rPr>
        <w:t>Landgericht Frankfurt am Main</w:t>
      </w:r>
      <w:r w:rsidRPr="000C1705">
        <w:rPr>
          <w:rFonts w:cs="Times New Roman"/>
        </w:rPr>
        <w:t xml:space="preserve"> hat mit Urteil vom 25.06.2020 entschieden, dass dann, wenn die Wohnungs</w:t>
      </w:r>
      <w:r w:rsidR="00961DE0">
        <w:rPr>
          <w:rFonts w:cs="Times New Roman"/>
        </w:rPr>
        <w:t xml:space="preserve">eigentümergemeinschaft von der Instandsetzungsbedürftigkeit </w:t>
      </w:r>
      <w:r w:rsidRPr="000C1705">
        <w:rPr>
          <w:rFonts w:cs="Times New Roman"/>
        </w:rPr>
        <w:t>von Fenstern ausgeht, im Fenstera</w:t>
      </w:r>
      <w:r w:rsidR="00961DE0">
        <w:rPr>
          <w:rFonts w:cs="Times New Roman"/>
        </w:rPr>
        <w:t xml:space="preserve">ustausch eine (modernisierende) </w:t>
      </w:r>
      <w:r w:rsidR="00961DE0" w:rsidRPr="000C1705">
        <w:rPr>
          <w:rFonts w:cs="Times New Roman"/>
        </w:rPr>
        <w:t>Instandsetzung liegt</w:t>
      </w:r>
      <w:r w:rsidR="00961DE0">
        <w:rPr>
          <w:rFonts w:cs="Times New Roman"/>
        </w:rPr>
        <w:t xml:space="preserve">.  </w:t>
      </w:r>
      <w:r w:rsidR="00961DE0" w:rsidRPr="00961DE0">
        <w:rPr>
          <w:rFonts w:cs="Times New Roman"/>
        </w:rPr>
        <w:t xml:space="preserve">Hierfür muss die Wohnungseigentümergemeinschaft kein Gesamtkonzept entwickeln. Bei technisch einfach gelagerten Vorhaben </w:t>
      </w:r>
      <w:r w:rsidR="00961DE0">
        <w:rPr>
          <w:rFonts w:cs="Times New Roman"/>
        </w:rPr>
        <w:t>wie</w:t>
      </w:r>
      <w:r w:rsidR="00961DE0" w:rsidRPr="00961DE0">
        <w:rPr>
          <w:rFonts w:cs="Times New Roman"/>
        </w:rPr>
        <w:t xml:space="preserve"> einem Fensteraustausch reicht dem Sachverstand von Handwerkern. Der Austausch alter Holzfenster durch moderne </w:t>
      </w:r>
      <w:r w:rsidR="00961DE0">
        <w:rPr>
          <w:rFonts w:cs="Times New Roman"/>
        </w:rPr>
        <w:t>Kunststofff</w:t>
      </w:r>
      <w:r w:rsidR="00961DE0" w:rsidRPr="00961DE0">
        <w:rPr>
          <w:rFonts w:cs="Times New Roman"/>
        </w:rPr>
        <w:t>enster ist regelmäßig eine ordnungsgemäße Instandhaltung</w:t>
      </w:r>
      <w:r w:rsidR="00961DE0">
        <w:rPr>
          <w:rFonts w:cs="Times New Roman"/>
        </w:rPr>
        <w:t>.</w:t>
      </w:r>
      <w:r w:rsidR="00961DE0" w:rsidRPr="00961DE0">
        <w:rPr>
          <w:rFonts w:cs="Times New Roman"/>
        </w:rPr>
        <w:t xml:space="preserve"> </w:t>
      </w:r>
    </w:p>
    <w:p w:rsidR="00961DE0" w:rsidRDefault="00961DE0" w:rsidP="000C1705">
      <w:pPr>
        <w:pStyle w:val="KeinLeerraum"/>
        <w:jc w:val="both"/>
        <w:rPr>
          <w:rFonts w:cs="Times New Roman"/>
        </w:rPr>
      </w:pPr>
    </w:p>
    <w:p w:rsidR="00961DE0" w:rsidRPr="00961DE0" w:rsidRDefault="00961DE0" w:rsidP="000C1705">
      <w:pPr>
        <w:pStyle w:val="KeinLeerraum"/>
        <w:jc w:val="both"/>
        <w:rPr>
          <w:rFonts w:cs="Times New Roman"/>
          <w:b/>
        </w:rPr>
      </w:pPr>
      <w:r w:rsidRPr="00961DE0">
        <w:rPr>
          <w:rFonts w:cs="Times New Roman"/>
          <w:b/>
        </w:rPr>
        <w:t xml:space="preserve">Covid </w:t>
      </w:r>
      <w:r>
        <w:rPr>
          <w:rFonts w:cs="Times New Roman"/>
          <w:b/>
        </w:rPr>
        <w:t xml:space="preserve">19 </w:t>
      </w:r>
      <w:r w:rsidRPr="00961DE0">
        <w:rPr>
          <w:rFonts w:cs="Times New Roman"/>
          <w:b/>
        </w:rPr>
        <w:t>Pandemie., Versammlung nur einiger Eigentümer?</w:t>
      </w:r>
    </w:p>
    <w:p w:rsidR="001F619D" w:rsidRDefault="001F619D" w:rsidP="00D76018">
      <w:pPr>
        <w:pStyle w:val="KeinLeerraum"/>
        <w:jc w:val="both"/>
        <w:rPr>
          <w:rFonts w:cs="Times New Roman"/>
        </w:rPr>
      </w:pPr>
    </w:p>
    <w:p w:rsidR="001F619D" w:rsidRDefault="00961DE0" w:rsidP="00D76018">
      <w:pPr>
        <w:pStyle w:val="KeinLeerraum"/>
        <w:jc w:val="both"/>
        <w:rPr>
          <w:rFonts w:cs="Times New Roman"/>
        </w:rPr>
      </w:pPr>
      <w:r w:rsidRPr="00961DE0">
        <w:rPr>
          <w:rFonts w:cs="Times New Roman"/>
        </w:rPr>
        <w:t xml:space="preserve">Das </w:t>
      </w:r>
      <w:r w:rsidRPr="00961DE0">
        <w:rPr>
          <w:rFonts w:cs="Times New Roman"/>
          <w:b/>
        </w:rPr>
        <w:t>Amtsgericht Kassel</w:t>
      </w:r>
      <w:r w:rsidRPr="00961DE0">
        <w:rPr>
          <w:rFonts w:cs="Times New Roman"/>
        </w:rPr>
        <w:t xml:space="preserve"> hat mit Urteil vom 07.08.2020 entschieden, dass </w:t>
      </w:r>
      <w:r>
        <w:rPr>
          <w:rFonts w:cs="Times New Roman"/>
        </w:rPr>
        <w:t>Covid</w:t>
      </w:r>
      <w:r w:rsidRPr="00961DE0">
        <w:rPr>
          <w:rFonts w:cs="Times New Roman"/>
        </w:rPr>
        <w:t xml:space="preserve"> 19 keine Beschränkung der Personenzahl auf einer Eigentümerversammlung </w:t>
      </w:r>
      <w:r>
        <w:rPr>
          <w:rFonts w:cs="Times New Roman"/>
        </w:rPr>
        <w:t>auf einen Wert unterhalb der t</w:t>
      </w:r>
      <w:r w:rsidRPr="00961DE0">
        <w:rPr>
          <w:rFonts w:cs="Times New Roman"/>
        </w:rPr>
        <w:t>eilnahmeberechtigten Eigentümer</w:t>
      </w:r>
      <w:r>
        <w:rPr>
          <w:rFonts w:cs="Times New Roman"/>
        </w:rPr>
        <w:t xml:space="preserve"> </w:t>
      </w:r>
      <w:r w:rsidRPr="00961DE0">
        <w:rPr>
          <w:rFonts w:cs="Times New Roman"/>
        </w:rPr>
        <w:t>rechtfertigt</w:t>
      </w:r>
      <w:r>
        <w:rPr>
          <w:rFonts w:cs="Times New Roman"/>
        </w:rPr>
        <w:t xml:space="preserve">. Spricht </w:t>
      </w:r>
      <w:r w:rsidRPr="00961DE0">
        <w:rPr>
          <w:rFonts w:cs="Times New Roman"/>
        </w:rPr>
        <w:t>die Einladung zu einer Versammlung ohne ausreichende Rechtfertigung eine solche Beschränkung aus, so sind die auf der Versammlung getroffenen Beschlüsse wegen Eingriffs in den Kernbere</w:t>
      </w:r>
      <w:r>
        <w:rPr>
          <w:rFonts w:cs="Times New Roman"/>
        </w:rPr>
        <w:t>ich des Wohnungseigentums nichtig.</w:t>
      </w:r>
    </w:p>
    <w:p w:rsidR="00961DE0" w:rsidRDefault="00961DE0" w:rsidP="00D76018">
      <w:pPr>
        <w:pStyle w:val="KeinLeerraum"/>
        <w:jc w:val="both"/>
        <w:rPr>
          <w:rFonts w:cs="Times New Roman"/>
        </w:rPr>
      </w:pPr>
    </w:p>
    <w:p w:rsidR="00961DE0" w:rsidRPr="00961DE0" w:rsidRDefault="00961DE0" w:rsidP="00961DE0">
      <w:pPr>
        <w:pStyle w:val="KeinLeerraum"/>
        <w:jc w:val="both"/>
        <w:rPr>
          <w:rFonts w:cs="Times New Roman"/>
          <w:b/>
        </w:rPr>
      </w:pPr>
      <w:r w:rsidRPr="00961DE0">
        <w:rPr>
          <w:rFonts w:cs="Times New Roman"/>
          <w:b/>
        </w:rPr>
        <w:t>Keine Beschlusskompetenz für Übertragung des Winterdienstes auch die Eigentümer</w:t>
      </w:r>
    </w:p>
    <w:p w:rsidR="00961DE0" w:rsidRDefault="00961DE0" w:rsidP="00961DE0">
      <w:pPr>
        <w:pStyle w:val="KeinLeerraum"/>
        <w:jc w:val="both"/>
        <w:rPr>
          <w:rFonts w:cs="Times New Roman"/>
        </w:rPr>
      </w:pPr>
    </w:p>
    <w:p w:rsidR="00961DE0" w:rsidRDefault="00961DE0" w:rsidP="00961DE0">
      <w:pPr>
        <w:pStyle w:val="KeinLeerraum"/>
        <w:jc w:val="both"/>
        <w:rPr>
          <w:rFonts w:cs="Times New Roman"/>
        </w:rPr>
      </w:pPr>
      <w:r w:rsidRPr="00961DE0">
        <w:rPr>
          <w:rFonts w:cs="Times New Roman"/>
        </w:rPr>
        <w:t xml:space="preserve">Das </w:t>
      </w:r>
      <w:r w:rsidRPr="00961DE0">
        <w:rPr>
          <w:rFonts w:cs="Times New Roman"/>
          <w:b/>
        </w:rPr>
        <w:t>Amtsgericht Oberhausen</w:t>
      </w:r>
      <w:r w:rsidRPr="00961DE0">
        <w:rPr>
          <w:rFonts w:cs="Times New Roman"/>
        </w:rPr>
        <w:t xml:space="preserve"> hat mit Urteil vom 03.06.2020 entschieden, dass Reinigung</w:t>
      </w:r>
      <w:r>
        <w:rPr>
          <w:rFonts w:cs="Times New Roman"/>
        </w:rPr>
        <w:t>sdienste, Gartenarbeiten</w:t>
      </w:r>
      <w:r w:rsidRPr="00961DE0">
        <w:rPr>
          <w:rFonts w:cs="Times New Roman"/>
        </w:rPr>
        <w:t xml:space="preserve"> oder </w:t>
      </w:r>
      <w:r>
        <w:rPr>
          <w:rFonts w:cs="Times New Roman"/>
        </w:rPr>
        <w:t>Räum</w:t>
      </w:r>
      <w:r w:rsidRPr="00961DE0">
        <w:rPr>
          <w:rFonts w:cs="Times New Roman"/>
        </w:rPr>
        <w:t>-</w:t>
      </w:r>
      <w:r>
        <w:rPr>
          <w:rFonts w:cs="Times New Roman"/>
        </w:rPr>
        <w:t xml:space="preserve"> </w:t>
      </w:r>
      <w:r w:rsidRPr="00961DE0">
        <w:rPr>
          <w:rFonts w:cs="Times New Roman"/>
        </w:rPr>
        <w:t>und Streupflichten den Wohnungseigentümern nicht durch Mehrheitsbeschluss persönlich aufgelegt werden können</w:t>
      </w:r>
      <w:r>
        <w:rPr>
          <w:rFonts w:cs="Times New Roman"/>
        </w:rPr>
        <w:t xml:space="preserve">. </w:t>
      </w:r>
      <w:r w:rsidRPr="00961DE0">
        <w:rPr>
          <w:rFonts w:cs="Times New Roman"/>
        </w:rPr>
        <w:t xml:space="preserve">Es fehlt den Wohnungseigentümern die Beschlusskompetenz. Hierdurch werden Aufgaben, die in den Pflichtenkreis des Verwalters gehören und für die der Verwalter u. a. </w:t>
      </w:r>
      <w:r>
        <w:rPr>
          <w:rFonts w:cs="Times New Roman"/>
        </w:rPr>
        <w:t>honoriert</w:t>
      </w:r>
      <w:r w:rsidRPr="00961DE0">
        <w:rPr>
          <w:rFonts w:cs="Times New Roman"/>
        </w:rPr>
        <w:t xml:space="preserve"> wird, auf die Wohnungseigentümer verlagert. Auch der Winterdienst darf nicht auf einzelne Wohnungseigentümer übertragen werden, womit auch die Übernahme der Verkehrssicherungspflicht gegenüber</w:t>
      </w:r>
      <w:r>
        <w:rPr>
          <w:rFonts w:cs="Times New Roman"/>
        </w:rPr>
        <w:t xml:space="preserve"> D</w:t>
      </w:r>
      <w:r w:rsidRPr="00961DE0">
        <w:rPr>
          <w:rFonts w:cs="Times New Roman"/>
        </w:rPr>
        <w:t>ritten verbunden ist.</w:t>
      </w:r>
    </w:p>
    <w:p w:rsidR="00961DE0" w:rsidRDefault="00961DE0" w:rsidP="00961DE0">
      <w:pPr>
        <w:pStyle w:val="KeinLeerraum"/>
        <w:jc w:val="both"/>
        <w:rPr>
          <w:rFonts w:cs="Times New Roman"/>
        </w:rPr>
      </w:pPr>
    </w:p>
    <w:p w:rsidR="00961DE0" w:rsidRPr="00961DE0" w:rsidRDefault="00961DE0" w:rsidP="00961DE0">
      <w:pPr>
        <w:pStyle w:val="KeinLeerraum"/>
        <w:jc w:val="both"/>
        <w:rPr>
          <w:rFonts w:cs="Times New Roman"/>
          <w:b/>
        </w:rPr>
      </w:pPr>
      <w:r w:rsidRPr="00961DE0">
        <w:rPr>
          <w:rFonts w:cs="Times New Roman"/>
          <w:b/>
        </w:rPr>
        <w:t>Keine Abnahme des Gemeinschaftseigentums durch den TÜV</w:t>
      </w:r>
    </w:p>
    <w:p w:rsidR="00961DE0" w:rsidRDefault="00961DE0" w:rsidP="00D76018">
      <w:pPr>
        <w:pStyle w:val="KeinLeerraum"/>
        <w:jc w:val="both"/>
        <w:rPr>
          <w:rFonts w:cs="Times New Roman"/>
        </w:rPr>
      </w:pPr>
    </w:p>
    <w:p w:rsidR="00961DE0" w:rsidRDefault="00961DE0" w:rsidP="00D76018">
      <w:pPr>
        <w:pStyle w:val="KeinLeerraum"/>
        <w:jc w:val="both"/>
        <w:rPr>
          <w:rFonts w:cs="Times New Roman"/>
        </w:rPr>
      </w:pPr>
      <w:r w:rsidRPr="00961DE0">
        <w:rPr>
          <w:rFonts w:cs="Times New Roman"/>
        </w:rPr>
        <w:t xml:space="preserve">Der </w:t>
      </w:r>
      <w:r w:rsidRPr="00961DE0">
        <w:rPr>
          <w:rFonts w:cs="Times New Roman"/>
          <w:b/>
        </w:rPr>
        <w:t>BGH</w:t>
      </w:r>
      <w:r w:rsidRPr="00961DE0">
        <w:rPr>
          <w:rFonts w:cs="Times New Roman"/>
        </w:rPr>
        <w:t xml:space="preserve"> hat mit Beschluss vom 17.06.2020 entschieden, dass die von einem Bauträger gestellte Klausel, wonach die Abnahme des Gemeinschaftseigentums durch den TÜV erfolgt, die Erwerber unangemessen benachteiligt und unwirksam ist</w:t>
      </w:r>
      <w:r>
        <w:rPr>
          <w:rFonts w:cs="Times New Roman"/>
        </w:rPr>
        <w:t xml:space="preserve">. </w:t>
      </w:r>
      <w:r w:rsidRPr="00961DE0">
        <w:rPr>
          <w:rFonts w:cs="Times New Roman"/>
        </w:rPr>
        <w:t>Die Benennung eines Sachverständigen, der die Abnahme des Gemeinschaftseigentums für die Erwerber bindend erklärt, verkürzt deren vertragliche Rechte zur Annahme der Leistung als vertragsgerecht erheblich. Außerdem besteht die Möglichkeit der Einflussnahme des Bauträgers durch die Benennung des Sachverständigen. Der Umstand, dass der Sachverständige vorliegend von den Erwerbern mit dem Vertrag dazu unwiderruflich bevollmächtigt wurde, ändert daran nichts. Denn die Erwerber haben in Bezug auf den Sachverständigen keine Wahl, er wird Ihnen vom Bauträger in allen Erwerbsvorgängen gleichlautend vorgegeben. Auch die Tatsache, dass der Bauträger keinen einzelnen Sachverständigen, sondern mit dem TÜV Rheinland ein</w:t>
      </w:r>
      <w:r w:rsidR="00932CF5">
        <w:rPr>
          <w:rFonts w:cs="Times New Roman"/>
        </w:rPr>
        <w:t>e Prüfo</w:t>
      </w:r>
      <w:r w:rsidRPr="00961DE0">
        <w:rPr>
          <w:rFonts w:cs="Times New Roman"/>
        </w:rPr>
        <w:t>rganisation benannt hat, ändert nichts an der Unwirksamkeit der unwiderruflichen Bevollmächtigung zur Abnahme des Gemeinschaftseigentums</w:t>
      </w:r>
      <w:r w:rsidR="00932CF5">
        <w:rPr>
          <w:rFonts w:cs="Times New Roman"/>
        </w:rPr>
        <w:t>.</w:t>
      </w:r>
    </w:p>
    <w:p w:rsidR="00932CF5" w:rsidRDefault="00932CF5" w:rsidP="00D76018">
      <w:pPr>
        <w:pStyle w:val="KeinLeerraum"/>
        <w:jc w:val="both"/>
        <w:rPr>
          <w:rFonts w:cs="Times New Roman"/>
        </w:rPr>
      </w:pPr>
    </w:p>
    <w:p w:rsidR="00961DE0" w:rsidRDefault="00961DE0" w:rsidP="00D76018">
      <w:pPr>
        <w:pStyle w:val="KeinLeerraum"/>
        <w:jc w:val="both"/>
        <w:rPr>
          <w:rFonts w:cs="Times New Roman"/>
        </w:rPr>
      </w:pPr>
    </w:p>
    <w:p w:rsidR="007C427B" w:rsidRDefault="00655F43" w:rsidP="00F16BD1">
      <w:pPr>
        <w:pStyle w:val="KeinLeerraum"/>
        <w:jc w:val="both"/>
        <w:rPr>
          <w:rFonts w:cs="Times New Roman"/>
        </w:rPr>
      </w:pPr>
      <w:r w:rsidRPr="00655F43">
        <w:rPr>
          <w:rFonts w:cs="Times New Roman"/>
        </w:rPr>
        <w:t xml:space="preserve">Verpflichtet. Verpflichtet. verpflichtet. zum Ersatz der hieraus entstandenen Schäden verpflichtet. </w:t>
      </w:r>
      <w:r w:rsidR="00422D09" w:rsidRPr="00421B19">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41131A" w:rsidRDefault="0041131A"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Pr="0041131A" w:rsidRDefault="007C427B" w:rsidP="00F16BD1">
      <w:pPr>
        <w:pStyle w:val="KeinLeerraum"/>
        <w:jc w:val="both"/>
        <w:rPr>
          <w:rFonts w:cs="Times New Roman"/>
        </w:rPr>
      </w:pPr>
    </w:p>
    <w:p w:rsidR="001E5344" w:rsidRDefault="001E5344" w:rsidP="00F16BD1">
      <w:pPr>
        <w:pStyle w:val="KeinLeerraum"/>
        <w:jc w:val="both"/>
        <w:rPr>
          <w:rFonts w:cs="Times New Roman"/>
        </w:rPr>
      </w:pPr>
    </w:p>
    <w:sectPr w:rsidR="001E534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12FB5"/>
    <w:rsid w:val="00023589"/>
    <w:rsid w:val="00030C57"/>
    <w:rsid w:val="00037A29"/>
    <w:rsid w:val="00041914"/>
    <w:rsid w:val="000460E5"/>
    <w:rsid w:val="00051F36"/>
    <w:rsid w:val="00052640"/>
    <w:rsid w:val="00054BE3"/>
    <w:rsid w:val="000557B2"/>
    <w:rsid w:val="0005639D"/>
    <w:rsid w:val="0005726D"/>
    <w:rsid w:val="0006078E"/>
    <w:rsid w:val="0006423F"/>
    <w:rsid w:val="0006635C"/>
    <w:rsid w:val="000669C3"/>
    <w:rsid w:val="00077791"/>
    <w:rsid w:val="000874D5"/>
    <w:rsid w:val="00093902"/>
    <w:rsid w:val="000A022A"/>
    <w:rsid w:val="000A4194"/>
    <w:rsid w:val="000A7DE0"/>
    <w:rsid w:val="000B22A0"/>
    <w:rsid w:val="000B46AE"/>
    <w:rsid w:val="000B50DC"/>
    <w:rsid w:val="000C1705"/>
    <w:rsid w:val="000C477F"/>
    <w:rsid w:val="000C6C0A"/>
    <w:rsid w:val="000E1FE5"/>
    <w:rsid w:val="000E41B8"/>
    <w:rsid w:val="000E5115"/>
    <w:rsid w:val="000F0CA3"/>
    <w:rsid w:val="000F1727"/>
    <w:rsid w:val="000F4FD9"/>
    <w:rsid w:val="00100EB4"/>
    <w:rsid w:val="00101E98"/>
    <w:rsid w:val="00107AE4"/>
    <w:rsid w:val="00111066"/>
    <w:rsid w:val="0011246D"/>
    <w:rsid w:val="00112CFD"/>
    <w:rsid w:val="0012316C"/>
    <w:rsid w:val="00124835"/>
    <w:rsid w:val="0013254E"/>
    <w:rsid w:val="00134C7F"/>
    <w:rsid w:val="001375AE"/>
    <w:rsid w:val="00140F8A"/>
    <w:rsid w:val="00141F2D"/>
    <w:rsid w:val="00162CAC"/>
    <w:rsid w:val="00174475"/>
    <w:rsid w:val="001745A0"/>
    <w:rsid w:val="00175CBB"/>
    <w:rsid w:val="001815DE"/>
    <w:rsid w:val="00186245"/>
    <w:rsid w:val="001942BA"/>
    <w:rsid w:val="00196A92"/>
    <w:rsid w:val="001A4642"/>
    <w:rsid w:val="001A57EF"/>
    <w:rsid w:val="001A7722"/>
    <w:rsid w:val="001B27FD"/>
    <w:rsid w:val="001B2F23"/>
    <w:rsid w:val="001B6576"/>
    <w:rsid w:val="001C1780"/>
    <w:rsid w:val="001E1622"/>
    <w:rsid w:val="001E1FDB"/>
    <w:rsid w:val="001E4E3A"/>
    <w:rsid w:val="001E5344"/>
    <w:rsid w:val="001E5925"/>
    <w:rsid w:val="001F5A84"/>
    <w:rsid w:val="001F619D"/>
    <w:rsid w:val="002004DE"/>
    <w:rsid w:val="00201A3E"/>
    <w:rsid w:val="00202F29"/>
    <w:rsid w:val="002134DA"/>
    <w:rsid w:val="00214473"/>
    <w:rsid w:val="0021540D"/>
    <w:rsid w:val="00215460"/>
    <w:rsid w:val="002205F8"/>
    <w:rsid w:val="0022136B"/>
    <w:rsid w:val="0022361D"/>
    <w:rsid w:val="00230551"/>
    <w:rsid w:val="00232F4F"/>
    <w:rsid w:val="00236A45"/>
    <w:rsid w:val="002370DE"/>
    <w:rsid w:val="00256516"/>
    <w:rsid w:val="00264863"/>
    <w:rsid w:val="00265A05"/>
    <w:rsid w:val="00271141"/>
    <w:rsid w:val="00294681"/>
    <w:rsid w:val="002A1EF2"/>
    <w:rsid w:val="002A7469"/>
    <w:rsid w:val="002A7A9D"/>
    <w:rsid w:val="002B4C94"/>
    <w:rsid w:val="002C4D08"/>
    <w:rsid w:val="002D4B52"/>
    <w:rsid w:val="002E0B91"/>
    <w:rsid w:val="003001E5"/>
    <w:rsid w:val="00301F0E"/>
    <w:rsid w:val="0030310E"/>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A1A53"/>
    <w:rsid w:val="003A3D51"/>
    <w:rsid w:val="003A4136"/>
    <w:rsid w:val="003A6384"/>
    <w:rsid w:val="003A66B3"/>
    <w:rsid w:val="003B068A"/>
    <w:rsid w:val="003B252E"/>
    <w:rsid w:val="003B2E5F"/>
    <w:rsid w:val="003B3EEB"/>
    <w:rsid w:val="003B4443"/>
    <w:rsid w:val="003B5986"/>
    <w:rsid w:val="003C3731"/>
    <w:rsid w:val="003D006E"/>
    <w:rsid w:val="003D22CC"/>
    <w:rsid w:val="003D5675"/>
    <w:rsid w:val="003D7858"/>
    <w:rsid w:val="003E1559"/>
    <w:rsid w:val="003E59C5"/>
    <w:rsid w:val="003F171B"/>
    <w:rsid w:val="003F79AF"/>
    <w:rsid w:val="004048FD"/>
    <w:rsid w:val="00406D4F"/>
    <w:rsid w:val="0041131A"/>
    <w:rsid w:val="00421B19"/>
    <w:rsid w:val="00422D09"/>
    <w:rsid w:val="004310C9"/>
    <w:rsid w:val="00452DD5"/>
    <w:rsid w:val="004530E6"/>
    <w:rsid w:val="00456F6B"/>
    <w:rsid w:val="00457C17"/>
    <w:rsid w:val="00463FF8"/>
    <w:rsid w:val="004643D5"/>
    <w:rsid w:val="00466682"/>
    <w:rsid w:val="00471137"/>
    <w:rsid w:val="00475064"/>
    <w:rsid w:val="00475C68"/>
    <w:rsid w:val="004850BB"/>
    <w:rsid w:val="004853B0"/>
    <w:rsid w:val="00493550"/>
    <w:rsid w:val="004937AC"/>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67C3"/>
    <w:rsid w:val="005570D9"/>
    <w:rsid w:val="00564EBC"/>
    <w:rsid w:val="00566C7E"/>
    <w:rsid w:val="005671A6"/>
    <w:rsid w:val="00570F3B"/>
    <w:rsid w:val="00573F33"/>
    <w:rsid w:val="005754BD"/>
    <w:rsid w:val="005779EB"/>
    <w:rsid w:val="00577F14"/>
    <w:rsid w:val="0058003F"/>
    <w:rsid w:val="0058014E"/>
    <w:rsid w:val="00582153"/>
    <w:rsid w:val="005927E9"/>
    <w:rsid w:val="0059626E"/>
    <w:rsid w:val="005B308C"/>
    <w:rsid w:val="005B4907"/>
    <w:rsid w:val="005B71F4"/>
    <w:rsid w:val="005C31E1"/>
    <w:rsid w:val="005C553D"/>
    <w:rsid w:val="005D13B1"/>
    <w:rsid w:val="005E1A6E"/>
    <w:rsid w:val="005E1A86"/>
    <w:rsid w:val="005E7A6B"/>
    <w:rsid w:val="00605856"/>
    <w:rsid w:val="006102C1"/>
    <w:rsid w:val="006106D6"/>
    <w:rsid w:val="006209B9"/>
    <w:rsid w:val="006230F9"/>
    <w:rsid w:val="00623201"/>
    <w:rsid w:val="00634308"/>
    <w:rsid w:val="006361D2"/>
    <w:rsid w:val="0064187C"/>
    <w:rsid w:val="0064688B"/>
    <w:rsid w:val="00655F43"/>
    <w:rsid w:val="0065677F"/>
    <w:rsid w:val="00657ECD"/>
    <w:rsid w:val="00671966"/>
    <w:rsid w:val="00677504"/>
    <w:rsid w:val="00680628"/>
    <w:rsid w:val="00686F3A"/>
    <w:rsid w:val="00687B22"/>
    <w:rsid w:val="0069034D"/>
    <w:rsid w:val="006925CB"/>
    <w:rsid w:val="00697F68"/>
    <w:rsid w:val="006B28C0"/>
    <w:rsid w:val="006B6F81"/>
    <w:rsid w:val="006C63AC"/>
    <w:rsid w:val="006C7730"/>
    <w:rsid w:val="006D5A1E"/>
    <w:rsid w:val="006D5D8C"/>
    <w:rsid w:val="006E7255"/>
    <w:rsid w:val="006E7EE6"/>
    <w:rsid w:val="006F54D8"/>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6753"/>
    <w:rsid w:val="00807875"/>
    <w:rsid w:val="0081560A"/>
    <w:rsid w:val="00816624"/>
    <w:rsid w:val="00817E91"/>
    <w:rsid w:val="00821E57"/>
    <w:rsid w:val="008263CC"/>
    <w:rsid w:val="0082772A"/>
    <w:rsid w:val="008420B0"/>
    <w:rsid w:val="008464B3"/>
    <w:rsid w:val="0085589B"/>
    <w:rsid w:val="00857A7D"/>
    <w:rsid w:val="008648B0"/>
    <w:rsid w:val="00876F85"/>
    <w:rsid w:val="008802A9"/>
    <w:rsid w:val="00881F6B"/>
    <w:rsid w:val="00885A97"/>
    <w:rsid w:val="00890A5D"/>
    <w:rsid w:val="0089266F"/>
    <w:rsid w:val="00895F98"/>
    <w:rsid w:val="00896D84"/>
    <w:rsid w:val="00896D85"/>
    <w:rsid w:val="008A1505"/>
    <w:rsid w:val="008A25EE"/>
    <w:rsid w:val="008D3683"/>
    <w:rsid w:val="008D4863"/>
    <w:rsid w:val="008D7AD3"/>
    <w:rsid w:val="008E1688"/>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78BB"/>
    <w:rsid w:val="00961DE0"/>
    <w:rsid w:val="00970543"/>
    <w:rsid w:val="009741B1"/>
    <w:rsid w:val="00982D96"/>
    <w:rsid w:val="00983385"/>
    <w:rsid w:val="00983E19"/>
    <w:rsid w:val="009865A6"/>
    <w:rsid w:val="00991104"/>
    <w:rsid w:val="009925EF"/>
    <w:rsid w:val="00994BA8"/>
    <w:rsid w:val="00995261"/>
    <w:rsid w:val="00996E43"/>
    <w:rsid w:val="009A334A"/>
    <w:rsid w:val="009A5D8D"/>
    <w:rsid w:val="009B23B8"/>
    <w:rsid w:val="009B48D7"/>
    <w:rsid w:val="009B4B7B"/>
    <w:rsid w:val="009B62EF"/>
    <w:rsid w:val="009C1151"/>
    <w:rsid w:val="009C21B2"/>
    <w:rsid w:val="009C59AB"/>
    <w:rsid w:val="009D717F"/>
    <w:rsid w:val="009E27FB"/>
    <w:rsid w:val="009E3F68"/>
    <w:rsid w:val="00A00F63"/>
    <w:rsid w:val="00A01125"/>
    <w:rsid w:val="00A07AEB"/>
    <w:rsid w:val="00A233C0"/>
    <w:rsid w:val="00A2440B"/>
    <w:rsid w:val="00A266BF"/>
    <w:rsid w:val="00A4659F"/>
    <w:rsid w:val="00A54602"/>
    <w:rsid w:val="00A54F86"/>
    <w:rsid w:val="00A563F1"/>
    <w:rsid w:val="00A66F4F"/>
    <w:rsid w:val="00A70069"/>
    <w:rsid w:val="00A81434"/>
    <w:rsid w:val="00AA3329"/>
    <w:rsid w:val="00AB23E5"/>
    <w:rsid w:val="00AC2CC8"/>
    <w:rsid w:val="00AC56AF"/>
    <w:rsid w:val="00AD00D9"/>
    <w:rsid w:val="00AD4FAB"/>
    <w:rsid w:val="00AF57D7"/>
    <w:rsid w:val="00AF6168"/>
    <w:rsid w:val="00AF6CAB"/>
    <w:rsid w:val="00B023C7"/>
    <w:rsid w:val="00B0347A"/>
    <w:rsid w:val="00B0503C"/>
    <w:rsid w:val="00B053D4"/>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70FE"/>
    <w:rsid w:val="00B7792E"/>
    <w:rsid w:val="00B80D2C"/>
    <w:rsid w:val="00B86A3D"/>
    <w:rsid w:val="00B91F93"/>
    <w:rsid w:val="00B9411E"/>
    <w:rsid w:val="00B94803"/>
    <w:rsid w:val="00B97642"/>
    <w:rsid w:val="00BA4932"/>
    <w:rsid w:val="00BB407C"/>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51B4"/>
    <w:rsid w:val="00C25EE4"/>
    <w:rsid w:val="00C26CC3"/>
    <w:rsid w:val="00C27C6E"/>
    <w:rsid w:val="00C41029"/>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B290D"/>
    <w:rsid w:val="00CB5323"/>
    <w:rsid w:val="00CB5D7E"/>
    <w:rsid w:val="00CC3018"/>
    <w:rsid w:val="00CC6347"/>
    <w:rsid w:val="00CD0574"/>
    <w:rsid w:val="00CD1172"/>
    <w:rsid w:val="00CD24E6"/>
    <w:rsid w:val="00CD42C9"/>
    <w:rsid w:val="00CD782B"/>
    <w:rsid w:val="00CE262C"/>
    <w:rsid w:val="00CF1243"/>
    <w:rsid w:val="00D00787"/>
    <w:rsid w:val="00D01CA3"/>
    <w:rsid w:val="00D023F4"/>
    <w:rsid w:val="00D04FE6"/>
    <w:rsid w:val="00D06B00"/>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C281D"/>
    <w:rsid w:val="00DD138F"/>
    <w:rsid w:val="00DD28CA"/>
    <w:rsid w:val="00DD404C"/>
    <w:rsid w:val="00DE0FD1"/>
    <w:rsid w:val="00DE2136"/>
    <w:rsid w:val="00DE4F90"/>
    <w:rsid w:val="00DF083C"/>
    <w:rsid w:val="00E02823"/>
    <w:rsid w:val="00E13739"/>
    <w:rsid w:val="00E147D7"/>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6E26"/>
    <w:rsid w:val="00E77BB9"/>
    <w:rsid w:val="00E80B6B"/>
    <w:rsid w:val="00E87209"/>
    <w:rsid w:val="00E9186B"/>
    <w:rsid w:val="00EA163E"/>
    <w:rsid w:val="00EB704E"/>
    <w:rsid w:val="00EC07D9"/>
    <w:rsid w:val="00EC6CAD"/>
    <w:rsid w:val="00ED0750"/>
    <w:rsid w:val="00ED1241"/>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C8F"/>
    <w:rsid w:val="00F476EC"/>
    <w:rsid w:val="00F55819"/>
    <w:rsid w:val="00F60512"/>
    <w:rsid w:val="00F60E5E"/>
    <w:rsid w:val="00F61F47"/>
    <w:rsid w:val="00F64EFD"/>
    <w:rsid w:val="00F65ADF"/>
    <w:rsid w:val="00F761A4"/>
    <w:rsid w:val="00F832AD"/>
    <w:rsid w:val="00F83B09"/>
    <w:rsid w:val="00F85A4C"/>
    <w:rsid w:val="00F87955"/>
    <w:rsid w:val="00F913D9"/>
    <w:rsid w:val="00F950E3"/>
    <w:rsid w:val="00F95FDC"/>
    <w:rsid w:val="00FA142D"/>
    <w:rsid w:val="00FB5FDB"/>
    <w:rsid w:val="00FB7E93"/>
    <w:rsid w:val="00FC6C4E"/>
    <w:rsid w:val="00FD07F1"/>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16EC"/>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ZPO&amp;P=719&amp;X=2" TargetMode="External"/><Relationship Id="rId13" Type="http://schemas.openxmlformats.org/officeDocument/2006/relationships/hyperlink" Target="http://beck-online.beck.de/Default.aspx?typ=reference&amp;y=100&amp;G=BGB&amp;P=241&amp;X=2" TargetMode="External"/><Relationship Id="rId3" Type="http://schemas.openxmlformats.org/officeDocument/2006/relationships/numbering" Target="numbering.xml"/><Relationship Id="rId7" Type="http://schemas.openxmlformats.org/officeDocument/2006/relationships/hyperlink" Target="http://beck-online.beck.de/Default.aspx?typ=reference&amp;y=100&amp;G=ZPO&amp;P=719" TargetMode="External"/><Relationship Id="rId12" Type="http://schemas.openxmlformats.org/officeDocument/2006/relationships/hyperlink" Target="http://beck-online.beck.de/Default.aspx?typ=reference&amp;y=100&amp;G=BGB&amp;P=24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ck-online.beck.de/Default.aspx?typ=reference&amp;y=100&amp;G=BGB&amp;P=573&amp;X=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eck-online.beck.de/Default.aspx?typ=reference&amp;y=100&amp;G=BGB&amp;P=573&amp;X=1" TargetMode="External"/><Relationship Id="rId4" Type="http://schemas.openxmlformats.org/officeDocument/2006/relationships/styles" Target="styles.xml"/><Relationship Id="rId9" Type="http://schemas.openxmlformats.org/officeDocument/2006/relationships/hyperlink" Target="http://beck-online.beck.de/Default.aspx?typ=reference&amp;y=100&amp;G=BGB&amp;P=573"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452e20a8-fcfe-4196-a05e-03d53ea53eb3</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8173C-E552-4B6F-84F9-CA9DEB5A4F3F}">
  <ds:schemaRefs>
    <ds:schemaRef ds:uri="http://www.datev.de/BSOffice/999929"/>
  </ds:schemaRefs>
</ds:datastoreItem>
</file>

<file path=customXml/itemProps2.xml><?xml version="1.0" encoding="utf-8"?>
<ds:datastoreItem xmlns:ds="http://schemas.openxmlformats.org/officeDocument/2006/customXml" ds:itemID="{DA2665AE-650E-4410-AD2B-1841B74B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1593</Words>
  <Characters>10041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Schmidt-Eberth</dc:creator>
  <cp:lastModifiedBy>Jens Becker-Platen</cp:lastModifiedBy>
  <cp:revision>6</cp:revision>
  <cp:lastPrinted>2019-01-17T09:30:00Z</cp:lastPrinted>
  <dcterms:created xsi:type="dcterms:W3CDTF">2020-09-24T15:30:00Z</dcterms:created>
  <dcterms:modified xsi:type="dcterms:W3CDTF">2020-10-29T09:11:00Z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536151</vt:lpwstr>
  </property>
  <property fmtid="{D5CDD505-2E9C-101B-9397-08002B2CF9AE}" pid="5" name="DATEV-DMS_BETREFF">
    <vt:lpwstr>Mandantenrundbrief November 2020</vt:lpwstr>
  </property>
</Properties>
</file>