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5A0" w:rsidRDefault="001745A0" w:rsidP="00F16BD1">
      <w:pPr>
        <w:pStyle w:val="KeinLeerraum"/>
        <w:jc w:val="both"/>
      </w:pPr>
      <w:r w:rsidRPr="00421B19">
        <w:rPr>
          <w:noProof/>
          <w:lang w:eastAsia="de-DE"/>
        </w:rPr>
        <mc:AlternateContent>
          <mc:Choice Requires="wps">
            <w:drawing>
              <wp:anchor distT="0" distB="0" distL="114300" distR="114300" simplePos="0" relativeHeight="251659264" behindDoc="0" locked="0" layoutInCell="1" allowOverlap="1" wp14:anchorId="3159C8FE" wp14:editId="5C80751D">
                <wp:simplePos x="0" y="0"/>
                <wp:positionH relativeFrom="column">
                  <wp:posOffset>-57150</wp:posOffset>
                </wp:positionH>
                <wp:positionV relativeFrom="paragraph">
                  <wp:posOffset>-135255</wp:posOffset>
                </wp:positionV>
                <wp:extent cx="2604770" cy="752475"/>
                <wp:effectExtent l="0" t="0" r="2413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52475"/>
                        </a:xfrm>
                        <a:prstGeom prst="rect">
                          <a:avLst/>
                        </a:prstGeom>
                        <a:solidFill>
                          <a:srgbClr val="FFFFFF"/>
                        </a:solidFill>
                        <a:ln w="9525">
                          <a:solidFill>
                            <a:srgbClr val="000000"/>
                          </a:solidFill>
                          <a:miter lim="800000"/>
                          <a:headEnd/>
                          <a:tailEnd/>
                        </a:ln>
                      </wps:spPr>
                      <wps:txbx>
                        <w:txbxContent>
                          <w:p w:rsidR="00BE7524" w:rsidRDefault="00BE7524" w:rsidP="00BE7524">
                            <w:pPr>
                              <w:spacing w:after="0" w:line="240" w:lineRule="auto"/>
                              <w:jc w:val="center"/>
                              <w:rPr>
                                <w:b/>
                                <w:sz w:val="28"/>
                              </w:rPr>
                            </w:pPr>
                            <w:r w:rsidRPr="005650BE">
                              <w:rPr>
                                <w:b/>
                                <w:sz w:val="28"/>
                              </w:rPr>
                              <w:t>Mandanteninformationen</w:t>
                            </w:r>
                          </w:p>
                          <w:p w:rsidR="006D5A1E" w:rsidRPr="005650BE" w:rsidRDefault="00BE7524" w:rsidP="006D5A1E">
                            <w:pPr>
                              <w:spacing w:after="0" w:line="240" w:lineRule="auto"/>
                              <w:jc w:val="center"/>
                              <w:rPr>
                                <w:b/>
                                <w:sz w:val="28"/>
                              </w:rPr>
                            </w:pPr>
                            <w:r>
                              <w:rPr>
                                <w:b/>
                                <w:sz w:val="28"/>
                              </w:rPr>
                              <w:t>Miet- u</w:t>
                            </w:r>
                            <w:r w:rsidR="003E59C5">
                              <w:rPr>
                                <w:b/>
                                <w:sz w:val="28"/>
                              </w:rPr>
                              <w:t xml:space="preserve">nd Wohnungseigen-tumsrecht </w:t>
                            </w:r>
                            <w:r w:rsidR="00677504">
                              <w:rPr>
                                <w:b/>
                                <w:sz w:val="28"/>
                              </w:rPr>
                              <w:t>Oktober</w:t>
                            </w:r>
                            <w:r w:rsidR="00DE2136">
                              <w:rPr>
                                <w:b/>
                                <w:sz w:val="28"/>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9C8FE" id="_x0000_t202" coordsize="21600,21600" o:spt="202" path="m,l,21600r21600,l21600,xe">
                <v:stroke joinstyle="miter"/>
                <v:path gradientshapeok="t" o:connecttype="rect"/>
              </v:shapetype>
              <v:shape id="Textfeld 2" o:spid="_x0000_s1026" type="#_x0000_t202" style="position:absolute;left:0;text-align:left;margin-left:-4.5pt;margin-top:-10.65pt;width:205.1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">
                <v:textbox>
                  <w:txbxContent>
                    <w:p w:rsidR="00BE7524" w:rsidRDefault="00BE7524" w:rsidP="00BE7524">
                      <w:pPr>
                        <w:spacing w:after="0" w:line="240" w:lineRule="auto"/>
                        <w:jc w:val="center"/>
                        <w:rPr>
                          <w:b/>
                          <w:sz w:val="28"/>
                        </w:rPr>
                      </w:pPr>
                      <w:r w:rsidRPr="005650BE">
                        <w:rPr>
                          <w:b/>
                          <w:sz w:val="28"/>
                        </w:rPr>
                        <w:t>Mandanteninformationen</w:t>
                      </w:r>
                    </w:p>
                    <w:p w:rsidR="006D5A1E" w:rsidRPr="005650BE" w:rsidRDefault="00BE7524" w:rsidP="006D5A1E">
                      <w:pPr>
                        <w:spacing w:after="0" w:line="240" w:lineRule="auto"/>
                        <w:jc w:val="center"/>
                        <w:rPr>
                          <w:b/>
                          <w:sz w:val="28"/>
                        </w:rPr>
                      </w:pPr>
                      <w:r>
                        <w:rPr>
                          <w:b/>
                          <w:sz w:val="28"/>
                        </w:rPr>
                        <w:t>Miet- u</w:t>
                      </w:r>
                      <w:r w:rsidR="003E59C5">
                        <w:rPr>
                          <w:b/>
                          <w:sz w:val="28"/>
                        </w:rPr>
                        <w:t xml:space="preserve">nd Wohnungseigen-tumsrecht </w:t>
                      </w:r>
                      <w:r w:rsidR="00677504">
                        <w:rPr>
                          <w:b/>
                          <w:sz w:val="28"/>
                        </w:rPr>
                        <w:t>Oktober</w:t>
                      </w:r>
                      <w:r w:rsidR="00DE2136">
                        <w:rPr>
                          <w:b/>
                          <w:sz w:val="28"/>
                        </w:rPr>
                        <w:t xml:space="preserve"> 2020</w:t>
                      </w:r>
                    </w:p>
                  </w:txbxContent>
                </v:textbox>
              </v:shape>
            </w:pict>
          </mc:Fallback>
        </mc:AlternateContent>
      </w:r>
    </w:p>
    <w:p w:rsidR="001745A0" w:rsidRDefault="001745A0" w:rsidP="00F16BD1">
      <w:pPr>
        <w:pStyle w:val="KeinLeerraum"/>
        <w:jc w:val="both"/>
      </w:pPr>
    </w:p>
    <w:p w:rsidR="001745A0" w:rsidRDefault="001745A0" w:rsidP="00F16BD1">
      <w:pPr>
        <w:pStyle w:val="KeinLeerraum"/>
        <w:jc w:val="both"/>
      </w:pPr>
    </w:p>
    <w:p w:rsidR="001745A0" w:rsidRDefault="001745A0" w:rsidP="00F16BD1">
      <w:pPr>
        <w:pStyle w:val="KeinLeerraum"/>
        <w:jc w:val="both"/>
      </w:pPr>
    </w:p>
    <w:p w:rsidR="00CD1172" w:rsidRDefault="00CD1172" w:rsidP="00F16BD1">
      <w:pPr>
        <w:pStyle w:val="KeinLeerraum"/>
        <w:jc w:val="both"/>
        <w:rPr>
          <w:rStyle w:val="zit"/>
        </w:rPr>
      </w:pPr>
    </w:p>
    <w:p w:rsidR="001942BA" w:rsidRPr="007255D7" w:rsidRDefault="007255D7" w:rsidP="006230F9">
      <w:pPr>
        <w:pStyle w:val="KeinLeerraum"/>
        <w:jc w:val="both"/>
        <w:rPr>
          <w:rFonts w:cs="Times New Roman"/>
          <w:b/>
        </w:rPr>
      </w:pPr>
      <w:r w:rsidRPr="007255D7">
        <w:rPr>
          <w:rFonts w:cs="Times New Roman"/>
          <w:b/>
        </w:rPr>
        <w:t>Gestattung baulicher Veränderungen</w:t>
      </w:r>
    </w:p>
    <w:p w:rsidR="007255D7" w:rsidRDefault="007255D7" w:rsidP="006230F9">
      <w:pPr>
        <w:pStyle w:val="KeinLeerraum"/>
        <w:jc w:val="both"/>
        <w:rPr>
          <w:rFonts w:cs="Times New Roman"/>
        </w:rPr>
      </w:pPr>
    </w:p>
    <w:p w:rsidR="007255D7" w:rsidRDefault="007255D7" w:rsidP="006230F9">
      <w:pPr>
        <w:pStyle w:val="KeinLeerraum"/>
        <w:jc w:val="both"/>
        <w:rPr>
          <w:rFonts w:cs="Times New Roman"/>
        </w:rPr>
      </w:pPr>
      <w:r w:rsidRPr="007255D7">
        <w:rPr>
          <w:rFonts w:cs="Times New Roman"/>
        </w:rPr>
        <w:t xml:space="preserve">Der </w:t>
      </w:r>
      <w:r w:rsidRPr="007255D7">
        <w:rPr>
          <w:rFonts w:cs="Times New Roman"/>
          <w:b/>
        </w:rPr>
        <w:t>BGH</w:t>
      </w:r>
      <w:r w:rsidRPr="007255D7">
        <w:rPr>
          <w:rFonts w:cs="Times New Roman"/>
        </w:rPr>
        <w:t xml:space="preserve"> hat mit Urteil vom 15.05.2020 entschieden, dass die Beschlussmehrheit in</w:t>
      </w:r>
      <w:r>
        <w:rPr>
          <w:rFonts w:cs="Times New Roman"/>
        </w:rPr>
        <w:t xml:space="preserve"> der Wohnungseigentümerversammlung ausb</w:t>
      </w:r>
      <w:r w:rsidRPr="007255D7">
        <w:rPr>
          <w:rFonts w:cs="Times New Roman"/>
        </w:rPr>
        <w:t>auwilligen Wohnungseigentümern die Vornahme baulicher Veränderungen am gemeinschaftlichen Eigentum unter der Bedingung erlauben kann, dass diese sämtliche Errichtungs- und Folgekosten übernehmen.</w:t>
      </w:r>
      <w:r>
        <w:rPr>
          <w:rFonts w:cs="Times New Roman"/>
        </w:rPr>
        <w:t xml:space="preserve"> </w:t>
      </w:r>
      <w:r w:rsidRPr="007255D7">
        <w:rPr>
          <w:rFonts w:cs="Times New Roman"/>
        </w:rPr>
        <w:t>Dient eine bauliche Maßnahme nur einzelnen Wohnungseigentümern, werden Sie die Zustimmung von den übrigen, soweit erforderlich, nur dann erhalten, wen</w:t>
      </w:r>
      <w:r>
        <w:rPr>
          <w:rFonts w:cs="Times New Roman"/>
        </w:rPr>
        <w:t>n Sie die Kosten und die Ausbau</w:t>
      </w:r>
      <w:r w:rsidRPr="007255D7">
        <w:rPr>
          <w:rFonts w:cs="Times New Roman"/>
        </w:rPr>
        <w:t>folgen allein tragen. Eine in diesem Sinne getroffene Kostenregelung ist keine den § 16 Abs. 4 WEG widersprechende Änderung der Kostenverteilung. Es handelt sich vielmehr um eine von der Norm nicht erfasste Maßgabe für die Gestattung der baulichen Veränderung. Die Wohnungseigentümer mac</w:t>
      </w:r>
      <w:r>
        <w:rPr>
          <w:rFonts w:cs="Times New Roman"/>
        </w:rPr>
        <w:t>hen allein von ihrer Kompetenz G</w:t>
      </w:r>
      <w:r w:rsidRPr="007255D7">
        <w:rPr>
          <w:rFonts w:cs="Times New Roman"/>
        </w:rPr>
        <w:t>ebrauch, die Ausbaubef</w:t>
      </w:r>
      <w:r>
        <w:rPr>
          <w:rFonts w:cs="Times New Roman"/>
        </w:rPr>
        <w:t>ugnis an die Kosten</w:t>
      </w:r>
      <w:r w:rsidR="004530E6">
        <w:rPr>
          <w:rFonts w:cs="Times New Roman"/>
        </w:rPr>
        <w:t>- und F</w:t>
      </w:r>
      <w:r>
        <w:rPr>
          <w:rFonts w:cs="Times New Roman"/>
        </w:rPr>
        <w:t>olgenf</w:t>
      </w:r>
      <w:r w:rsidRPr="007255D7">
        <w:rPr>
          <w:rFonts w:cs="Times New Roman"/>
        </w:rPr>
        <w:t>rage zu koppeln.</w:t>
      </w:r>
      <w:r w:rsidR="004530E6">
        <w:rPr>
          <w:rFonts w:cs="Times New Roman"/>
        </w:rPr>
        <w:t xml:space="preserve"> </w:t>
      </w:r>
      <w:r w:rsidR="004530E6" w:rsidRPr="004530E6">
        <w:rPr>
          <w:rFonts w:cs="Times New Roman"/>
        </w:rPr>
        <w:t>Ob ein Wohnungseigentümer seine Befugnisse nutzt,</w:t>
      </w:r>
      <w:r w:rsidR="004530E6">
        <w:rPr>
          <w:rFonts w:cs="Times New Roman"/>
        </w:rPr>
        <w:t xml:space="preserve"> bleibt ihm überlassen. Erteilt er</w:t>
      </w:r>
      <w:r w:rsidR="004530E6" w:rsidRPr="004530E6">
        <w:rPr>
          <w:rFonts w:cs="Times New Roman"/>
        </w:rPr>
        <w:t xml:space="preserve"> einen entsprechenden </w:t>
      </w:r>
      <w:r w:rsidR="004530E6">
        <w:rPr>
          <w:rFonts w:cs="Times New Roman"/>
        </w:rPr>
        <w:t>Auftrag</w:t>
      </w:r>
      <w:r w:rsidR="004530E6" w:rsidRPr="004530E6">
        <w:rPr>
          <w:rFonts w:cs="Times New Roman"/>
        </w:rPr>
        <w:t xml:space="preserve"> entstehen allein</w:t>
      </w:r>
      <w:r w:rsidR="004530E6">
        <w:rPr>
          <w:rFonts w:cs="Times New Roman"/>
        </w:rPr>
        <w:t xml:space="preserve"> ihm und nicht der Gemeinschaft K</w:t>
      </w:r>
      <w:r w:rsidR="004530E6" w:rsidRPr="004530E6">
        <w:rPr>
          <w:rFonts w:cs="Times New Roman"/>
        </w:rPr>
        <w:t>osten, sodass zu verteilende Positionen nicht anfallen</w:t>
      </w:r>
      <w:r w:rsidR="004530E6">
        <w:rPr>
          <w:rFonts w:cs="Times New Roman"/>
        </w:rPr>
        <w:t>. K</w:t>
      </w:r>
      <w:r w:rsidR="004530E6" w:rsidRPr="004530E6">
        <w:rPr>
          <w:rFonts w:cs="Times New Roman"/>
        </w:rPr>
        <w:t>eine Duldungspflicht best</w:t>
      </w:r>
      <w:r w:rsidR="004530E6">
        <w:rPr>
          <w:rFonts w:cs="Times New Roman"/>
        </w:rPr>
        <w:t>eht allerdings gegenüber einer beschlussabweichden Umsetzung.</w:t>
      </w:r>
    </w:p>
    <w:p w:rsidR="00564EBC" w:rsidRDefault="00564EBC" w:rsidP="00F16BD1">
      <w:pPr>
        <w:pStyle w:val="KeinLeerraum"/>
        <w:jc w:val="both"/>
        <w:rPr>
          <w:rFonts w:cs="Times New Roman"/>
        </w:rPr>
      </w:pPr>
    </w:p>
    <w:p w:rsidR="00D76018" w:rsidRPr="00D76018" w:rsidRDefault="00D76018" w:rsidP="00D76018">
      <w:pPr>
        <w:pStyle w:val="KeinLeerraum"/>
        <w:jc w:val="both"/>
        <w:rPr>
          <w:rFonts w:cs="Times New Roman"/>
          <w:b/>
        </w:rPr>
      </w:pPr>
      <w:r w:rsidRPr="00D76018">
        <w:rPr>
          <w:rFonts w:cs="Times New Roman"/>
          <w:b/>
        </w:rPr>
        <w:t>Wohnungszuweisung an einen Ehegatten</w:t>
      </w:r>
    </w:p>
    <w:p w:rsidR="00D76018" w:rsidRPr="00D76018" w:rsidRDefault="00D76018" w:rsidP="00D76018">
      <w:pPr>
        <w:pStyle w:val="KeinLeerraum"/>
        <w:jc w:val="both"/>
        <w:rPr>
          <w:rFonts w:cs="Times New Roman"/>
        </w:rPr>
      </w:pPr>
    </w:p>
    <w:p w:rsidR="00564EBC" w:rsidRDefault="00D76018" w:rsidP="00D76018">
      <w:pPr>
        <w:pStyle w:val="KeinLeerraum"/>
        <w:jc w:val="both"/>
        <w:rPr>
          <w:rFonts w:cs="Times New Roman"/>
        </w:rPr>
      </w:pPr>
      <w:r w:rsidRPr="00D76018">
        <w:rPr>
          <w:rFonts w:cs="Times New Roman"/>
        </w:rPr>
        <w:t xml:space="preserve">Das </w:t>
      </w:r>
      <w:r w:rsidRPr="00D76018">
        <w:rPr>
          <w:rFonts w:cs="Times New Roman"/>
          <w:b/>
        </w:rPr>
        <w:t>OLG Zweibrücken</w:t>
      </w:r>
      <w:r w:rsidRPr="00D76018">
        <w:rPr>
          <w:rFonts w:cs="Times New Roman"/>
        </w:rPr>
        <w:t xml:space="preserve"> hat mit Beschluss vom 30.01.2020 festgestellt, dass dann, wenn die Ehele</w:t>
      </w:r>
      <w:r>
        <w:rPr>
          <w:rFonts w:cs="Times New Roman"/>
        </w:rPr>
        <w:t>ute im Rahmen einer Ehewohnungss</w:t>
      </w:r>
      <w:r w:rsidRPr="00D76018">
        <w:rPr>
          <w:rFonts w:cs="Times New Roman"/>
        </w:rPr>
        <w:t>ache vereinbaren, dass die Ehewohnung einem Ehegatten zur alleinige</w:t>
      </w:r>
      <w:r>
        <w:rPr>
          <w:rFonts w:cs="Times New Roman"/>
        </w:rPr>
        <w:t>n Nutzung überlassen wird, hier</w:t>
      </w:r>
      <w:r w:rsidRPr="00D76018">
        <w:rPr>
          <w:rFonts w:cs="Times New Roman"/>
        </w:rPr>
        <w:t>aus die Räumungsvollstreckung nicht betrieben werden kann, solange die Vereinbarung nicht auch die Verpflichtung zur Räumung und Herausgabe der Ehewohnung enthält. Fehlt diese Verpflichtung, so ist kein vollstreckungsfähiger Inhalt vorhanden.</w:t>
      </w:r>
    </w:p>
    <w:p w:rsidR="00D76018" w:rsidRDefault="00D76018" w:rsidP="00D76018">
      <w:pPr>
        <w:pStyle w:val="KeinLeerraum"/>
        <w:jc w:val="both"/>
        <w:rPr>
          <w:rFonts w:cs="Times New Roman"/>
        </w:rPr>
      </w:pPr>
    </w:p>
    <w:p w:rsidR="00D76018" w:rsidRPr="00D76018" w:rsidRDefault="00D76018" w:rsidP="00D76018">
      <w:pPr>
        <w:pStyle w:val="KeinLeerraum"/>
        <w:jc w:val="both"/>
        <w:rPr>
          <w:rFonts w:cs="Times New Roman"/>
          <w:b/>
        </w:rPr>
      </w:pPr>
      <w:r w:rsidRPr="00D76018">
        <w:rPr>
          <w:rFonts w:cs="Times New Roman"/>
          <w:b/>
        </w:rPr>
        <w:t>Unterlassungsansprüche WEG Sondereigentum/Gemeinschaftseigentum</w:t>
      </w:r>
    </w:p>
    <w:p w:rsidR="00D76018" w:rsidRDefault="00D76018" w:rsidP="00D76018">
      <w:pPr>
        <w:pStyle w:val="KeinLeerraum"/>
        <w:jc w:val="both"/>
        <w:rPr>
          <w:rFonts w:cs="Times New Roman"/>
        </w:rPr>
      </w:pPr>
    </w:p>
    <w:p w:rsidR="00D76018" w:rsidRDefault="00D76018" w:rsidP="00D76018">
      <w:pPr>
        <w:pStyle w:val="KeinLeerraum"/>
        <w:jc w:val="both"/>
        <w:rPr>
          <w:rFonts w:cs="Times New Roman"/>
        </w:rPr>
      </w:pPr>
      <w:r w:rsidRPr="00D76018">
        <w:rPr>
          <w:rFonts w:cs="Times New Roman"/>
        </w:rPr>
        <w:t xml:space="preserve">Der </w:t>
      </w:r>
      <w:r w:rsidRPr="00D76018">
        <w:rPr>
          <w:rFonts w:cs="Times New Roman"/>
          <w:b/>
        </w:rPr>
        <w:t>BGH</w:t>
      </w:r>
      <w:r w:rsidRPr="00D76018">
        <w:rPr>
          <w:rFonts w:cs="Times New Roman"/>
        </w:rPr>
        <w:t xml:space="preserve"> hat mit Urteil vom 24.01.2020 entschieden, dass die Gemeinschaft der Wohnungseigentümer Unterlassungsansprüche, die </w:t>
      </w:r>
      <w:r w:rsidRPr="00D76018">
        <w:rPr>
          <w:rFonts w:cs="Times New Roman"/>
        </w:rPr>
        <w:t>dem einzelnen Wohnungseigentümer zur Abwehr von Störungen im räumlichen Be</w:t>
      </w:r>
      <w:r>
        <w:rPr>
          <w:rFonts w:cs="Times New Roman"/>
        </w:rPr>
        <w:t>reich seines Sondereigentums zu</w:t>
      </w:r>
      <w:r w:rsidRPr="00D76018">
        <w:rPr>
          <w:rFonts w:cs="Times New Roman"/>
        </w:rPr>
        <w:t>stehen, auch dann nicht durch Beschluss an sich ziehen kann, wenn zugleich das Gemeinschaftseigentum von den Störungen betroffen ist. In einem solchen Fall können nur</w:t>
      </w:r>
      <w:r>
        <w:rPr>
          <w:rFonts w:cs="Times New Roman"/>
        </w:rPr>
        <w:t xml:space="preserve"> die Ansprüche vergemeinschaftet</w:t>
      </w:r>
      <w:r w:rsidRPr="00D76018">
        <w:rPr>
          <w:rFonts w:cs="Times New Roman"/>
        </w:rPr>
        <w:t xml:space="preserve"> werden, die auf die Abwehr der Störungen des Gemeinschaftseigentums gerichtet sind. Das in einheitlicher Beschlussfassung trotz fehlender Beschlusskompetenz zugleich mit Ansprüchen das gemeinschaftliche Eigentum betreffend Ansprüche der Wohnungseigentümer wegen Persönlichkeits</w:t>
      </w:r>
      <w:r>
        <w:rPr>
          <w:rFonts w:cs="Times New Roman"/>
        </w:rPr>
        <w:t>-</w:t>
      </w:r>
      <w:r w:rsidRPr="00D76018">
        <w:rPr>
          <w:rFonts w:cs="Times New Roman"/>
        </w:rPr>
        <w:t xml:space="preserve"> und Körperverletzung sowie Ansprüche wegen Beeinträchtigung des </w:t>
      </w:r>
      <w:r w:rsidR="003D5675">
        <w:rPr>
          <w:rFonts w:cs="Times New Roman"/>
        </w:rPr>
        <w:t>räumlichen Bereichs i</w:t>
      </w:r>
      <w:r w:rsidRPr="00D76018">
        <w:rPr>
          <w:rFonts w:cs="Times New Roman"/>
        </w:rPr>
        <w:t>hres S</w:t>
      </w:r>
      <w:r w:rsidR="003D5675">
        <w:rPr>
          <w:rFonts w:cs="Times New Roman"/>
        </w:rPr>
        <w:t>ondereigentums vergemeinschaftet</w:t>
      </w:r>
      <w:r w:rsidRPr="00D76018">
        <w:rPr>
          <w:rFonts w:cs="Times New Roman"/>
        </w:rPr>
        <w:t xml:space="preserve"> werden, führt in entsprechender Anwendung von § 139 BGB nicht zur Nichtigkeit des gesamten Beschlusses, solange die teilweise Aufrechterhaltung des Beschlusses zweif</w:t>
      </w:r>
      <w:r w:rsidR="003D5675">
        <w:rPr>
          <w:rFonts w:cs="Times New Roman"/>
        </w:rPr>
        <w:t>elsfrei – und so auch hier – dem</w:t>
      </w:r>
      <w:r w:rsidRPr="00D76018">
        <w:rPr>
          <w:rFonts w:cs="Times New Roman"/>
        </w:rPr>
        <w:t xml:space="preserve"> tatsächlichen oder hypothetischen Parteiwillen entspricht</w:t>
      </w:r>
      <w:r w:rsidR="003D5675">
        <w:rPr>
          <w:rFonts w:cs="Times New Roman"/>
        </w:rPr>
        <w:t>.</w:t>
      </w:r>
    </w:p>
    <w:p w:rsidR="003D5675" w:rsidRDefault="003D5675" w:rsidP="00D76018">
      <w:pPr>
        <w:pStyle w:val="KeinLeerraum"/>
        <w:jc w:val="both"/>
        <w:rPr>
          <w:rFonts w:cs="Times New Roman"/>
        </w:rPr>
      </w:pPr>
    </w:p>
    <w:p w:rsidR="003D5675" w:rsidRPr="00784DA9" w:rsidRDefault="00784DA9" w:rsidP="00D76018">
      <w:pPr>
        <w:pStyle w:val="KeinLeerraum"/>
        <w:jc w:val="both"/>
        <w:rPr>
          <w:rFonts w:cs="Times New Roman"/>
          <w:b/>
        </w:rPr>
      </w:pPr>
      <w:r w:rsidRPr="00784DA9">
        <w:rPr>
          <w:rFonts w:cs="Times New Roman"/>
          <w:b/>
        </w:rPr>
        <w:t>Schönheitsreparaturen bei unrenoviert übernommenen Räumen</w:t>
      </w:r>
    </w:p>
    <w:p w:rsidR="00784DA9" w:rsidRDefault="00784DA9" w:rsidP="00D76018">
      <w:pPr>
        <w:pStyle w:val="KeinLeerraum"/>
        <w:jc w:val="both"/>
        <w:rPr>
          <w:rFonts w:cs="Times New Roman"/>
        </w:rPr>
      </w:pPr>
    </w:p>
    <w:p w:rsidR="00784DA9" w:rsidRDefault="00784DA9" w:rsidP="00D76018">
      <w:pPr>
        <w:pStyle w:val="KeinLeerraum"/>
        <w:jc w:val="both"/>
        <w:rPr>
          <w:rFonts w:cs="Times New Roman"/>
        </w:rPr>
      </w:pPr>
      <w:r w:rsidRPr="00784DA9">
        <w:rPr>
          <w:rFonts w:cs="Times New Roman"/>
        </w:rPr>
        <w:t>An die Stelle einer nach § 307 Abs. 1, Abs. 2 Nr. 1 BGB unwirksamen Klausel zur Durchführung von Schönheitsreparaturen durch den Mieter bei einer ohne angemessenen Ausgleich unrenoviert bzw. renovierungsbedürftig überlassenen Wohnung tritt nach § 306 Abs. 2 BGB die gesetzliche Regelung des § 535 Abs. 1 Satz 2 BGB. Die hiernach den Vermieter treffende Instandhaltungsmaßnahmen, d. h. die Ausführung von Schönheitsreparaturen, bestimmt sich nach dem zum vertragsgemäßen Gebrauch geeigneten Zustand. Dies kann auch der unrenovierte bzw. renovierungsbedürftige Zustand der Wohnung zum Zeitpunkt ihrer Überlassung sein. Bei einer wesentlichen Verschlechteru</w:t>
      </w:r>
      <w:r w:rsidR="00CF1243">
        <w:rPr>
          <w:rFonts w:cs="Times New Roman"/>
        </w:rPr>
        <w:t>ng des anfänglichen Dekorationz</w:t>
      </w:r>
      <w:r w:rsidRPr="00784DA9">
        <w:rPr>
          <w:rFonts w:cs="Times New Roman"/>
        </w:rPr>
        <w:t>us</w:t>
      </w:r>
      <w:r w:rsidR="00CF1243">
        <w:rPr>
          <w:rFonts w:cs="Times New Roman"/>
        </w:rPr>
        <w:t xml:space="preserve">tands kommt ein Instandhaltungsanspruch </w:t>
      </w:r>
      <w:r w:rsidRPr="00784DA9">
        <w:rPr>
          <w:rFonts w:cs="Times New Roman"/>
        </w:rPr>
        <w:t>des Mieters aber in Betracht. Da die Wiederherstellung di</w:t>
      </w:r>
      <w:r w:rsidR="00CF1243">
        <w:rPr>
          <w:rFonts w:cs="Times New Roman"/>
        </w:rPr>
        <w:t>eses ursprünglichen Dekorationz</w:t>
      </w:r>
      <w:r w:rsidRPr="00784DA9">
        <w:rPr>
          <w:rFonts w:cs="Times New Roman"/>
        </w:rPr>
        <w:t>ustands der Wohnung in der Regel nicht praktikabel, zumindest aber wirtschaftlich nicht sinnvoll ist und deshalb nicht im Interesse vernünftiger Mietvertragsparteien liegt, ist in diesen Fällen allein eine Durchfüh</w:t>
      </w:r>
      <w:r w:rsidR="00CF1243">
        <w:rPr>
          <w:rFonts w:cs="Times New Roman"/>
        </w:rPr>
        <w:t>rung von Schönheitsreparaturen s</w:t>
      </w:r>
      <w:r w:rsidRPr="00784DA9">
        <w:rPr>
          <w:rFonts w:cs="Times New Roman"/>
        </w:rPr>
        <w:t>ach-</w:t>
      </w:r>
      <w:r w:rsidR="00CF1243">
        <w:rPr>
          <w:rFonts w:cs="Times New Roman"/>
        </w:rPr>
        <w:t xml:space="preserve"> </w:t>
      </w:r>
      <w:r w:rsidRPr="00784DA9">
        <w:rPr>
          <w:rFonts w:cs="Times New Roman"/>
        </w:rPr>
        <w:t>und interessengerecht, durch welche der Vermieter die Wohnung in einen frisch renovierten Zustand versetzt. Mit Rücksicht auf Treu und Glauben kann der Mieter eine solche Renovierung ver</w:t>
      </w:r>
      <w:r w:rsidRPr="00784DA9">
        <w:rPr>
          <w:rFonts w:cs="Times New Roman"/>
        </w:rPr>
        <w:lastRenderedPageBreak/>
        <w:t>langen, muss sich aber wegen der dadurch bewirk</w:t>
      </w:r>
      <w:r w:rsidR="00CF1243">
        <w:rPr>
          <w:rFonts w:cs="Times New Roman"/>
        </w:rPr>
        <w:t>ten Besserstellung gegenüber dem unrenovierten</w:t>
      </w:r>
      <w:r w:rsidRPr="00784DA9">
        <w:rPr>
          <w:rFonts w:cs="Times New Roman"/>
        </w:rPr>
        <w:t xml:space="preserve"> (vertragsgemäßen) Zustand bei Mietbeginn in angemessenem – in der Regel hälftigen – Umfang an den Kosten beteiligen. Die Kostenbeteiligung kann der auf Durchführung von Schönheitsreparaturen in Anspruch genommene Vermieter dem Mieter nach Art eines Zurückbehaltungsrechtes entgegenhalten. Der Mieter kann, insbesondere zur Vermeidung eines teilweisen Unterliegens, im Klage</w:t>
      </w:r>
      <w:r w:rsidR="00CF1243">
        <w:rPr>
          <w:rFonts w:cs="Times New Roman"/>
        </w:rPr>
        <w:t>-</w:t>
      </w:r>
      <w:r w:rsidRPr="00784DA9">
        <w:rPr>
          <w:rFonts w:cs="Times New Roman"/>
        </w:rPr>
        <w:t>verfahren seiner Kostenbeteiligung schlicht dadurch Rechnung tragen, dass er die Vornahme der Schönheitsreparaturen nur Zug um Zug gegen Zahlung seines Kostenbeitrags verlangt.</w:t>
      </w:r>
    </w:p>
    <w:p w:rsidR="00F2599E" w:rsidRDefault="00F2599E" w:rsidP="00D76018">
      <w:pPr>
        <w:pStyle w:val="KeinLeerraum"/>
        <w:jc w:val="both"/>
        <w:rPr>
          <w:rFonts w:cs="Times New Roman"/>
        </w:rPr>
      </w:pPr>
    </w:p>
    <w:p w:rsidR="00F2599E" w:rsidRPr="00F2599E" w:rsidRDefault="00F2599E" w:rsidP="00D76018">
      <w:pPr>
        <w:pStyle w:val="KeinLeerraum"/>
        <w:jc w:val="both"/>
        <w:rPr>
          <w:rFonts w:cs="Times New Roman"/>
          <w:b/>
        </w:rPr>
      </w:pPr>
      <w:r w:rsidRPr="00F2599E">
        <w:rPr>
          <w:rFonts w:cs="Times New Roman"/>
          <w:b/>
        </w:rPr>
        <w:t>Anspruch auf Schadensersatz wegen Ausfalls der Heizung</w:t>
      </w:r>
    </w:p>
    <w:p w:rsidR="00F2599E" w:rsidRDefault="00F2599E" w:rsidP="00D76018">
      <w:pPr>
        <w:pStyle w:val="KeinLeerraum"/>
        <w:jc w:val="both"/>
        <w:rPr>
          <w:rFonts w:cs="Times New Roman"/>
        </w:rPr>
      </w:pPr>
    </w:p>
    <w:p w:rsidR="00F2599E" w:rsidRDefault="00F2599E" w:rsidP="00D76018">
      <w:pPr>
        <w:pStyle w:val="KeinLeerraum"/>
        <w:jc w:val="both"/>
        <w:rPr>
          <w:rFonts w:cs="Times New Roman"/>
        </w:rPr>
      </w:pPr>
      <w:r w:rsidRPr="00F2599E">
        <w:rPr>
          <w:rFonts w:cs="Times New Roman"/>
        </w:rPr>
        <w:t xml:space="preserve">Das </w:t>
      </w:r>
      <w:r w:rsidRPr="00F2599E">
        <w:rPr>
          <w:rFonts w:cs="Times New Roman"/>
          <w:b/>
        </w:rPr>
        <w:t>OLG Düsseldorf</w:t>
      </w:r>
      <w:r w:rsidRPr="00F2599E">
        <w:rPr>
          <w:rFonts w:cs="Times New Roman"/>
        </w:rPr>
        <w:t xml:space="preserve"> hat mit Urteil vom 12.02.2020 festgestellt, dass derjenige, der behauptet, wegen unberechtigter Unterbrechung der Gasversorgung eine schwere Erkältung und Infektion der Atemwege erlitten zu haben, den Beweis dafür erbringen muss, dass di</w:t>
      </w:r>
      <w:r>
        <w:rPr>
          <w:rFonts w:cs="Times New Roman"/>
        </w:rPr>
        <w:t>e Gasversorgungsu</w:t>
      </w:r>
      <w:r w:rsidRPr="00F2599E">
        <w:rPr>
          <w:rFonts w:cs="Times New Roman"/>
        </w:rPr>
        <w:t xml:space="preserve">nterbrechung ursächlich für die Erkrankung geworden </w:t>
      </w:r>
      <w:r>
        <w:rPr>
          <w:rFonts w:cs="Times New Roman"/>
        </w:rPr>
        <w:t>ist. Das Beweisangebotes durch V</w:t>
      </w:r>
      <w:r w:rsidRPr="00F2599E">
        <w:rPr>
          <w:rFonts w:cs="Times New Roman"/>
        </w:rPr>
        <w:t xml:space="preserve">ernehmen des Arztes ist als unzulässiger Ausforschungsbeweis abzulehnen, da der Arzt aus eigener Wahrnehmung nur bezeugen kann, dass der Patient an einer Erkältung </w:t>
      </w:r>
      <w:r>
        <w:rPr>
          <w:rFonts w:cs="Times New Roman"/>
        </w:rPr>
        <w:t>leidet</w:t>
      </w:r>
      <w:r w:rsidRPr="00F2599E">
        <w:rPr>
          <w:rFonts w:cs="Times New Roman"/>
        </w:rPr>
        <w:t>, zu den Ursachen der Erkrankung aber keine Angaben machen kann. Ein Schadensersatzanspruch scheitert darüber hinaus an einem überwiegenden Mitverschulden gemäß § 254 Abs. 1 BGB, da sich der Geschädigte durch warme Kleidung, Übernachtung in einem Ausweichquartier, Beschaffung eines elektrischen Heizgerät des etc. hätte schützen können und müssen.</w:t>
      </w:r>
    </w:p>
    <w:p w:rsidR="00F2599E" w:rsidRDefault="00F2599E" w:rsidP="00D76018">
      <w:pPr>
        <w:pStyle w:val="KeinLeerraum"/>
        <w:jc w:val="both"/>
        <w:rPr>
          <w:rFonts w:cs="Times New Roman"/>
        </w:rPr>
      </w:pPr>
    </w:p>
    <w:p w:rsidR="00F2599E" w:rsidRPr="00F2599E" w:rsidRDefault="00F2599E" w:rsidP="00F2599E">
      <w:pPr>
        <w:pStyle w:val="KeinLeerraum"/>
        <w:jc w:val="both"/>
        <w:rPr>
          <w:rFonts w:cs="Times New Roman"/>
          <w:b/>
        </w:rPr>
      </w:pPr>
      <w:r w:rsidRPr="00F2599E">
        <w:rPr>
          <w:rFonts w:cs="Times New Roman"/>
          <w:b/>
        </w:rPr>
        <w:t>Umlage Hausmeisterarbeiten des Vermieters</w:t>
      </w:r>
    </w:p>
    <w:p w:rsidR="00F2599E" w:rsidRPr="00F2599E" w:rsidRDefault="00F2599E" w:rsidP="00F2599E">
      <w:pPr>
        <w:pStyle w:val="KeinLeerraum"/>
        <w:jc w:val="both"/>
        <w:rPr>
          <w:rFonts w:cs="Times New Roman"/>
        </w:rPr>
      </w:pPr>
    </w:p>
    <w:p w:rsidR="00F2599E" w:rsidRDefault="00F2599E" w:rsidP="00F2599E">
      <w:pPr>
        <w:pStyle w:val="KeinLeerraum"/>
        <w:jc w:val="both"/>
        <w:rPr>
          <w:rFonts w:cs="Times New Roman"/>
        </w:rPr>
      </w:pPr>
      <w:r w:rsidRPr="00F2599E">
        <w:rPr>
          <w:rFonts w:cs="Times New Roman"/>
        </w:rPr>
        <w:t xml:space="preserve">Das </w:t>
      </w:r>
      <w:r w:rsidRPr="00F2599E">
        <w:rPr>
          <w:rFonts w:cs="Times New Roman"/>
          <w:b/>
        </w:rPr>
        <w:t>Landgericht Düsseldorf</w:t>
      </w:r>
      <w:r w:rsidRPr="00F2599E">
        <w:rPr>
          <w:rFonts w:cs="Times New Roman"/>
        </w:rPr>
        <w:t xml:space="preserve"> hat mit Urteil vom 20.05.2020 entschieden, dass ein Vermieter eigenständig erbrachte Hausmeisterarbeiten auf die Mieter umlegen kann. Dazu kann</w:t>
      </w:r>
      <w:r>
        <w:rPr>
          <w:rFonts w:cs="Times New Roman"/>
        </w:rPr>
        <w:t xml:space="preserve"> er sich auf ein Angebot eines D</w:t>
      </w:r>
      <w:r w:rsidRPr="00F2599E">
        <w:rPr>
          <w:rFonts w:cs="Times New Roman"/>
        </w:rPr>
        <w:t>ritten, insbesondere eines Unternehmers, beziehen, soweit § 1 Abs. 1 Satz 2 BetrKV wirksam in den Mietvertrag einbezogen wurde. Das Leistungsverzeichnis muss identisch sein mit dem vom Vermieter ausgeführten Arbeiten und d</w:t>
      </w:r>
      <w:r>
        <w:rPr>
          <w:rFonts w:cs="Times New Roman"/>
        </w:rPr>
        <w:t>ie even</w:t>
      </w:r>
      <w:r>
        <w:rPr>
          <w:rFonts w:cs="Times New Roman"/>
        </w:rPr>
        <w:t>tuelle Umsatzsteuer des D</w:t>
      </w:r>
      <w:r w:rsidRPr="00F2599E">
        <w:rPr>
          <w:rFonts w:cs="Times New Roman"/>
        </w:rPr>
        <w:t>ritten muss abgesetzt werden</w:t>
      </w:r>
      <w:r>
        <w:rPr>
          <w:rFonts w:cs="Times New Roman"/>
        </w:rPr>
        <w:t>.</w:t>
      </w:r>
    </w:p>
    <w:p w:rsidR="00F2599E" w:rsidRDefault="00F2599E" w:rsidP="00F2599E">
      <w:pPr>
        <w:pStyle w:val="KeinLeerraum"/>
        <w:jc w:val="both"/>
        <w:rPr>
          <w:rFonts w:cs="Times New Roman"/>
        </w:rPr>
      </w:pPr>
    </w:p>
    <w:p w:rsidR="00F2599E" w:rsidRPr="00F2599E" w:rsidRDefault="00F2599E" w:rsidP="00F2599E">
      <w:pPr>
        <w:pStyle w:val="KeinLeerraum"/>
        <w:jc w:val="both"/>
        <w:rPr>
          <w:rFonts w:cs="Times New Roman"/>
          <w:b/>
        </w:rPr>
      </w:pPr>
      <w:r w:rsidRPr="00F2599E">
        <w:rPr>
          <w:rFonts w:cs="Times New Roman"/>
          <w:b/>
        </w:rPr>
        <w:t>Keine Sozialauswahl bei Eigenbedarfskündigung des Vermieters</w:t>
      </w:r>
      <w:r>
        <w:rPr>
          <w:rFonts w:cs="Times New Roman"/>
          <w:b/>
        </w:rPr>
        <w:t>, Härtefallprüfung</w:t>
      </w:r>
    </w:p>
    <w:p w:rsidR="00F2599E" w:rsidRDefault="00F2599E" w:rsidP="00F2599E">
      <w:pPr>
        <w:pStyle w:val="KeinLeerraum"/>
        <w:jc w:val="both"/>
        <w:rPr>
          <w:rFonts w:cs="Times New Roman"/>
        </w:rPr>
      </w:pPr>
    </w:p>
    <w:p w:rsidR="00F2599E" w:rsidRDefault="00F2599E" w:rsidP="00F2599E">
      <w:pPr>
        <w:pStyle w:val="KeinLeerraum"/>
        <w:jc w:val="both"/>
        <w:rPr>
          <w:rFonts w:cs="Times New Roman"/>
        </w:rPr>
      </w:pPr>
      <w:r w:rsidRPr="00F2599E">
        <w:rPr>
          <w:rFonts w:cs="Times New Roman"/>
        </w:rPr>
        <w:t xml:space="preserve">Nach einem Urteil des </w:t>
      </w:r>
      <w:r w:rsidRPr="00F2599E">
        <w:rPr>
          <w:rFonts w:cs="Times New Roman"/>
          <w:b/>
        </w:rPr>
        <w:t>Landgerichtes Berlin</w:t>
      </w:r>
      <w:r w:rsidRPr="00F2599E">
        <w:rPr>
          <w:rFonts w:cs="Times New Roman"/>
        </w:rPr>
        <w:t xml:space="preserve"> vom 18.12.2019 wird ein Mieter mit dem Einwand, der Vermieter hätte unter mehreren vergleichbaren Wohnungen eine andere kündigen müssen nicht gehört, da der Vermieter keine Sozialauswahl vornehmen muss. Bietet ein Vermieter eine Alternativwohnung im selben Haus zu im Wesentlichen gleichen Konditionen an und weist der Mieter dieses Angebot ohne triftigen Grund zurück, kann e</w:t>
      </w:r>
      <w:r>
        <w:rPr>
          <w:rFonts w:cs="Times New Roman"/>
        </w:rPr>
        <w:t>r sich im Rahmen der Härtefallp</w:t>
      </w:r>
      <w:r w:rsidRPr="00F2599E">
        <w:rPr>
          <w:rFonts w:cs="Times New Roman"/>
        </w:rPr>
        <w:t>rüfung nicht darauf berufen, keinen zumutbaren Ersatzwohnraum zu finden. Ein Sachverständigengutachten zur Räumungsu</w:t>
      </w:r>
      <w:r>
        <w:rPr>
          <w:rFonts w:cs="Times New Roman"/>
        </w:rPr>
        <w:t>nfähigkeit</w:t>
      </w:r>
      <w:r w:rsidRPr="00F2599E">
        <w:rPr>
          <w:rFonts w:cs="Times New Roman"/>
        </w:rPr>
        <w:t xml:space="preserve"> ist vom Gericht nur dann einzuholen, wenn der Zusammenhang zwischen einem erzwungenen Wohnungswechsel und schwerwiegenden Gesundheitsgefahren hinreichend substantiiert und schlüssig vorgetragen ist</w:t>
      </w:r>
      <w:r>
        <w:rPr>
          <w:rFonts w:cs="Times New Roman"/>
        </w:rPr>
        <w:t>.</w:t>
      </w:r>
    </w:p>
    <w:p w:rsidR="00F2599E" w:rsidRDefault="00F2599E" w:rsidP="00F2599E">
      <w:pPr>
        <w:pStyle w:val="KeinLeerraum"/>
        <w:jc w:val="both"/>
        <w:rPr>
          <w:rFonts w:cs="Times New Roman"/>
        </w:rPr>
      </w:pPr>
    </w:p>
    <w:p w:rsidR="00E57521" w:rsidRPr="00E57521" w:rsidRDefault="00E57521" w:rsidP="00E57521">
      <w:pPr>
        <w:pStyle w:val="KeinLeerraum"/>
        <w:jc w:val="both"/>
        <w:rPr>
          <w:rFonts w:cs="Times New Roman"/>
          <w:b/>
        </w:rPr>
      </w:pPr>
      <w:r w:rsidRPr="00E57521">
        <w:rPr>
          <w:rFonts w:cs="Times New Roman"/>
          <w:b/>
        </w:rPr>
        <w:t>airbnb-Vermietungen fristlose Kündigung</w:t>
      </w:r>
    </w:p>
    <w:p w:rsidR="00E57521" w:rsidRPr="00E57521" w:rsidRDefault="00E57521" w:rsidP="00E57521">
      <w:pPr>
        <w:pStyle w:val="KeinLeerraum"/>
        <w:jc w:val="both"/>
        <w:rPr>
          <w:rFonts w:cs="Times New Roman"/>
        </w:rPr>
      </w:pPr>
    </w:p>
    <w:p w:rsidR="00F2599E" w:rsidRDefault="00E57521" w:rsidP="00E57521">
      <w:pPr>
        <w:pStyle w:val="KeinLeerraum"/>
        <w:jc w:val="both"/>
        <w:rPr>
          <w:rFonts w:cs="Times New Roman"/>
        </w:rPr>
      </w:pPr>
      <w:r w:rsidRPr="00E57521">
        <w:rPr>
          <w:rFonts w:cs="Times New Roman"/>
        </w:rPr>
        <w:t xml:space="preserve">Das </w:t>
      </w:r>
      <w:r w:rsidRPr="00E57521">
        <w:rPr>
          <w:rFonts w:cs="Times New Roman"/>
          <w:b/>
        </w:rPr>
        <w:t>Amtsgericht München</w:t>
      </w:r>
      <w:r w:rsidRPr="00E57521">
        <w:rPr>
          <w:rFonts w:cs="Times New Roman"/>
        </w:rPr>
        <w:t xml:space="preserve"> hat mit Beschluss vom 27.05.2020 entschieden, dass bei </w:t>
      </w:r>
      <w:r>
        <w:rPr>
          <w:rFonts w:cs="Times New Roman"/>
        </w:rPr>
        <w:t>airbnb-</w:t>
      </w:r>
      <w:r w:rsidRPr="00E57521">
        <w:rPr>
          <w:rFonts w:cs="Times New Roman"/>
        </w:rPr>
        <w:t xml:space="preserve"> Vermietungen eine fristlose Kündigung ohne vorherige Abmahnung möglich ist, da hierdurch auch gegen das Verbot der Zweckentfremdung von Wohnraum verstoßen wird, was den Vertragsverstoß als besonders schwerwiegend erscheinen lässt. Eine nach bereits erfolgte Kündigung erstellte Mieterhöhung ist als Angebot auf Abschluss eines neuen Vertrags zu den Bedingungen des alten Vertrages mit der Modifikation, dass eine </w:t>
      </w:r>
      <w:r>
        <w:rPr>
          <w:rFonts w:cs="Times New Roman"/>
        </w:rPr>
        <w:t>erheblich</w:t>
      </w:r>
      <w:r w:rsidRPr="00E57521">
        <w:rPr>
          <w:rFonts w:cs="Times New Roman"/>
        </w:rPr>
        <w:t xml:space="preserve"> höhere Miete geschuldet ist, anzusehen</w:t>
      </w:r>
      <w:r>
        <w:rPr>
          <w:rFonts w:cs="Times New Roman"/>
        </w:rPr>
        <w:t>.</w:t>
      </w:r>
    </w:p>
    <w:p w:rsidR="00E57521" w:rsidRDefault="00E57521" w:rsidP="00E57521">
      <w:pPr>
        <w:pStyle w:val="KeinLeerraum"/>
        <w:jc w:val="both"/>
        <w:rPr>
          <w:rFonts w:cs="Times New Roman"/>
        </w:rPr>
      </w:pPr>
    </w:p>
    <w:p w:rsidR="00E57521" w:rsidRPr="00E57521" w:rsidRDefault="00E57521" w:rsidP="00E57521">
      <w:pPr>
        <w:pStyle w:val="KeinLeerraum"/>
        <w:jc w:val="both"/>
        <w:rPr>
          <w:rFonts w:cs="Times New Roman"/>
          <w:b/>
        </w:rPr>
      </w:pPr>
      <w:r w:rsidRPr="00E57521">
        <w:rPr>
          <w:rFonts w:cs="Times New Roman"/>
          <w:b/>
        </w:rPr>
        <w:t>Schadensersatz bei Räumung ohne Titel und fehlender Inventarliste</w:t>
      </w:r>
    </w:p>
    <w:p w:rsidR="00E57521" w:rsidRDefault="00E57521" w:rsidP="00E57521">
      <w:pPr>
        <w:pStyle w:val="KeinLeerraum"/>
        <w:jc w:val="both"/>
        <w:rPr>
          <w:rFonts w:cs="Times New Roman"/>
        </w:rPr>
      </w:pPr>
    </w:p>
    <w:p w:rsidR="00E57521" w:rsidRDefault="00E57521" w:rsidP="00E57521">
      <w:pPr>
        <w:pStyle w:val="KeinLeerraum"/>
        <w:jc w:val="both"/>
        <w:rPr>
          <w:rFonts w:cs="Times New Roman"/>
        </w:rPr>
      </w:pPr>
      <w:r w:rsidRPr="00E57521">
        <w:rPr>
          <w:rFonts w:cs="Times New Roman"/>
        </w:rPr>
        <w:t xml:space="preserve">Das </w:t>
      </w:r>
      <w:r w:rsidRPr="00E57521">
        <w:rPr>
          <w:rFonts w:cs="Times New Roman"/>
          <w:b/>
        </w:rPr>
        <w:t>OLG Köln</w:t>
      </w:r>
      <w:r w:rsidRPr="00E57521">
        <w:rPr>
          <w:rFonts w:cs="Times New Roman"/>
        </w:rPr>
        <w:t xml:space="preserve"> hat mit Urteil vom 28.05.2020 entschieden, dass der Vermieter verschuldensunabhängig für die Folgen einer eigenmächtigen Inbesitznahme einer Wohnung ohne Titel haftet. Dies gilt insbesondere dann, wenn der Mieter den Besitz an den Räumlichkeiten erkennbar noch nicht aufgegeben hat. Der Vermieter kann sich nicht darauf berufen, sich über die Voraussetzungen </w:t>
      </w:r>
      <w:r>
        <w:rPr>
          <w:rFonts w:cs="Times New Roman"/>
        </w:rPr>
        <w:t>und den Umfang des Selbsthilfer</w:t>
      </w:r>
      <w:r w:rsidRPr="00E57521">
        <w:rPr>
          <w:rFonts w:cs="Times New Roman"/>
        </w:rPr>
        <w:t xml:space="preserve">echts </w:t>
      </w:r>
      <w:r>
        <w:rPr>
          <w:rFonts w:cs="Times New Roman"/>
        </w:rPr>
        <w:t>geirrt</w:t>
      </w:r>
      <w:r w:rsidRPr="00E57521">
        <w:rPr>
          <w:rFonts w:cs="Times New Roman"/>
        </w:rPr>
        <w:t xml:space="preserve"> zu haben. Der Vermieter hat bei Inbesitznahme </w:t>
      </w:r>
      <w:r>
        <w:rPr>
          <w:rFonts w:cs="Times New Roman"/>
        </w:rPr>
        <w:t>die Pflicht</w:t>
      </w:r>
      <w:r w:rsidRPr="00E57521">
        <w:rPr>
          <w:rFonts w:cs="Times New Roman"/>
        </w:rPr>
        <w:t>, eine aus</w:t>
      </w:r>
      <w:r w:rsidRPr="00E57521">
        <w:rPr>
          <w:rFonts w:cs="Times New Roman"/>
        </w:rPr>
        <w:lastRenderedPageBreak/>
        <w:t>sagekräftige Inventarliste des Hausrats zu erstellen, um dem Mieter die Sicherung seiner Ansprüche zu ermöglichen. Die Umkehr der Beweislast zu Lasten des Vermieters erstreckt sich auf den Bestand, den Zustand und die wertbildenden Merkmale der durch verbotene Eigenmacht in Besitz genommenen Gegenstände</w:t>
      </w:r>
      <w:r>
        <w:rPr>
          <w:rFonts w:cs="Times New Roman"/>
        </w:rPr>
        <w:t>.</w:t>
      </w:r>
    </w:p>
    <w:p w:rsidR="00E57521" w:rsidRDefault="00E57521" w:rsidP="00E57521">
      <w:pPr>
        <w:pStyle w:val="KeinLeerraum"/>
        <w:jc w:val="both"/>
        <w:rPr>
          <w:rFonts w:cs="Times New Roman"/>
        </w:rPr>
      </w:pPr>
    </w:p>
    <w:p w:rsidR="00E57521" w:rsidRPr="00E57521" w:rsidRDefault="00E57521" w:rsidP="00E57521">
      <w:pPr>
        <w:pStyle w:val="KeinLeerraum"/>
        <w:jc w:val="both"/>
        <w:rPr>
          <w:rFonts w:cs="Times New Roman"/>
          <w:b/>
        </w:rPr>
      </w:pPr>
      <w:r w:rsidRPr="00E57521">
        <w:rPr>
          <w:rFonts w:cs="Times New Roman"/>
          <w:b/>
        </w:rPr>
        <w:t>Entschädigung wegen verspäteter Rückgabe</w:t>
      </w:r>
    </w:p>
    <w:p w:rsidR="00E57521" w:rsidRPr="00E57521" w:rsidRDefault="00E57521" w:rsidP="00E57521">
      <w:pPr>
        <w:pStyle w:val="KeinLeerraum"/>
        <w:jc w:val="both"/>
        <w:rPr>
          <w:rFonts w:cs="Times New Roman"/>
        </w:rPr>
      </w:pPr>
    </w:p>
    <w:p w:rsidR="00E57521" w:rsidRDefault="00E57521" w:rsidP="00E57521">
      <w:pPr>
        <w:pStyle w:val="KeinLeerraum"/>
        <w:jc w:val="both"/>
        <w:rPr>
          <w:rFonts w:cs="Times New Roman"/>
        </w:rPr>
      </w:pPr>
      <w:r w:rsidRPr="00E57521">
        <w:rPr>
          <w:rFonts w:cs="Times New Roman"/>
        </w:rPr>
        <w:t xml:space="preserve">Das </w:t>
      </w:r>
      <w:r w:rsidRPr="00E57521">
        <w:rPr>
          <w:rFonts w:cs="Times New Roman"/>
          <w:b/>
        </w:rPr>
        <w:t>OLG Brandenburg</w:t>
      </w:r>
      <w:r w:rsidRPr="00E57521">
        <w:rPr>
          <w:rFonts w:cs="Times New Roman"/>
        </w:rPr>
        <w:t xml:space="preserve"> hat mit Beschluss vom 03.02.2020 entschieden, dass dem Vermieter keine Entschädigung wegen verspäteter Rückgabe</w:t>
      </w:r>
      <w:r>
        <w:rPr>
          <w:rFonts w:cs="Times New Roman"/>
        </w:rPr>
        <w:t xml:space="preserve"> nach § 546a Abs. 1 BGB zusteht, </w:t>
      </w:r>
      <w:r w:rsidRPr="00E57521">
        <w:rPr>
          <w:rFonts w:cs="Times New Roman"/>
        </w:rPr>
        <w:t>wenn der Mieter den Gewerber</w:t>
      </w:r>
      <w:r>
        <w:rPr>
          <w:rFonts w:cs="Times New Roman"/>
        </w:rPr>
        <w:t>aum nicht renoviert zurückgibt. E</w:t>
      </w:r>
      <w:r w:rsidRPr="00E57521">
        <w:rPr>
          <w:rFonts w:cs="Times New Roman"/>
        </w:rPr>
        <w:t xml:space="preserve">in Entschädigungsanspruch gemäß § 546a Abs. 1 BGB </w:t>
      </w:r>
      <w:r>
        <w:rPr>
          <w:rFonts w:cs="Times New Roman"/>
        </w:rPr>
        <w:t xml:space="preserve">kann sich jedoch daraus ergeben, </w:t>
      </w:r>
      <w:r w:rsidRPr="00E57521">
        <w:rPr>
          <w:rFonts w:cs="Times New Roman"/>
        </w:rPr>
        <w:t>das schwer zu transportierende Gegenstände im Mietobjekt zurückbleiben. Ein Schadensersatz gemäß § 280 Abs. 1, Abs. 3, § 281 BGB wegen unterbliebener Schönheitsreparaturen kann auch den Mietausfall umfassen, wenn der Vermieter konkret niederlegt, an wen das renovierte Mietobjekt für welchen Mietzins vermietet worden wäre</w:t>
      </w:r>
      <w:r>
        <w:rPr>
          <w:rFonts w:cs="Times New Roman"/>
        </w:rPr>
        <w:t>.</w:t>
      </w:r>
    </w:p>
    <w:p w:rsidR="00E57521" w:rsidRDefault="00E57521" w:rsidP="00E57521">
      <w:pPr>
        <w:pStyle w:val="KeinLeerraum"/>
        <w:jc w:val="both"/>
        <w:rPr>
          <w:rFonts w:cs="Times New Roman"/>
        </w:rPr>
      </w:pPr>
    </w:p>
    <w:p w:rsidR="00E57521" w:rsidRPr="00E57521" w:rsidRDefault="00E57521" w:rsidP="00E57521">
      <w:pPr>
        <w:pStyle w:val="KeinLeerraum"/>
        <w:jc w:val="both"/>
        <w:rPr>
          <w:rFonts w:cs="Times New Roman"/>
          <w:b/>
        </w:rPr>
      </w:pPr>
      <w:r w:rsidRPr="00E57521">
        <w:rPr>
          <w:rFonts w:cs="Times New Roman"/>
          <w:b/>
        </w:rPr>
        <w:t>Mietzahlungspflicht Gewerbemieter auch bei Corona-bedingter Schließung</w:t>
      </w:r>
    </w:p>
    <w:p w:rsidR="00E57521" w:rsidRDefault="00E57521" w:rsidP="00E57521">
      <w:pPr>
        <w:pStyle w:val="KeinLeerraum"/>
        <w:jc w:val="both"/>
        <w:rPr>
          <w:rFonts w:cs="Times New Roman"/>
        </w:rPr>
      </w:pPr>
    </w:p>
    <w:p w:rsidR="00E57521" w:rsidRDefault="00E57521" w:rsidP="00E57521">
      <w:pPr>
        <w:pStyle w:val="KeinLeerraum"/>
        <w:jc w:val="both"/>
        <w:rPr>
          <w:rFonts w:cs="Times New Roman"/>
        </w:rPr>
      </w:pPr>
      <w:r w:rsidRPr="00E57521">
        <w:rPr>
          <w:rFonts w:cs="Times New Roman"/>
        </w:rPr>
        <w:t xml:space="preserve">Das </w:t>
      </w:r>
      <w:r w:rsidRPr="00E57521">
        <w:rPr>
          <w:rFonts w:cs="Times New Roman"/>
          <w:b/>
        </w:rPr>
        <w:t>Landgericht Heidelberg</w:t>
      </w:r>
      <w:r w:rsidRPr="00E57521">
        <w:rPr>
          <w:rFonts w:cs="Times New Roman"/>
        </w:rPr>
        <w:t xml:space="preserve"> hat mit Urteil vom 30.07.2020 entschiede</w:t>
      </w:r>
      <w:r>
        <w:rPr>
          <w:rFonts w:cs="Times New Roman"/>
        </w:rPr>
        <w:t>n, dass Geschäftsraumm</w:t>
      </w:r>
      <w:r w:rsidRPr="00E57521">
        <w:rPr>
          <w:rFonts w:cs="Times New Roman"/>
        </w:rPr>
        <w:t xml:space="preserve">ieter, insbesondere die großen Handelsketten auch während der wegen der </w:t>
      </w:r>
      <w:r>
        <w:rPr>
          <w:rFonts w:cs="Times New Roman"/>
        </w:rPr>
        <w:t>Coranaverordnung erfolgten</w:t>
      </w:r>
      <w:r w:rsidRPr="00E57521">
        <w:rPr>
          <w:rFonts w:cs="Times New Roman"/>
        </w:rPr>
        <w:t xml:space="preserve"> der Schließung von Filialen in aller Regel verpflichtet sind, die vereinbarte Miete auch für die Zeit der Schließung zu zahlen</w:t>
      </w:r>
      <w:r>
        <w:rPr>
          <w:rFonts w:cs="Times New Roman"/>
        </w:rPr>
        <w:t xml:space="preserve">. </w:t>
      </w:r>
      <w:r w:rsidRPr="00E57521">
        <w:rPr>
          <w:rFonts w:cs="Times New Roman"/>
        </w:rPr>
        <w:t>Unter B</w:t>
      </w:r>
      <w:r w:rsidR="00F761A4">
        <w:rPr>
          <w:rFonts w:cs="Times New Roman"/>
        </w:rPr>
        <w:t>ezugnahme auf die Rauchverbotse</w:t>
      </w:r>
      <w:r w:rsidRPr="00E57521">
        <w:rPr>
          <w:rFonts w:cs="Times New Roman"/>
        </w:rPr>
        <w:t xml:space="preserve">ntscheidung des BGH hält das Landgericht die Tauglichkeit der Räume zum vertragsgemäßen Gebrauch </w:t>
      </w:r>
      <w:r w:rsidR="00F761A4">
        <w:rPr>
          <w:rFonts w:cs="Times New Roman"/>
        </w:rPr>
        <w:t>für</w:t>
      </w:r>
      <w:r w:rsidRPr="00E57521">
        <w:rPr>
          <w:rFonts w:cs="Times New Roman"/>
        </w:rPr>
        <w:t xml:space="preserve"> nicht eingeschränkt, da die hoheitliche Maßnahme sich nicht auf die konkrete Beschaffenheit, den Zustand oder die Lage der konkreten Mietsache bezieht. Maßnahmen, die den geschäftlichen Erfolg des Mieters beeinträchtigen, fallen in</w:t>
      </w:r>
      <w:r w:rsidR="00F761A4">
        <w:rPr>
          <w:rFonts w:cs="Times New Roman"/>
        </w:rPr>
        <w:t xml:space="preserve"> </w:t>
      </w:r>
      <w:r w:rsidRPr="00E57521">
        <w:rPr>
          <w:rFonts w:cs="Times New Roman"/>
        </w:rPr>
        <w:t xml:space="preserve">dessen Risikobereich. Auch ein Fall der Unmöglichkeit nach § 275 BGB, mit der Folge des Entfalls der Gegenleistungspflicht für den Mieter nach § 326 Abs. 1 BGB, liegt nach Auffassung des Gerichts nicht vor. Da die Schließung der </w:t>
      </w:r>
      <w:r w:rsidR="00F761A4">
        <w:rPr>
          <w:rFonts w:cs="Times New Roman"/>
        </w:rPr>
        <w:t xml:space="preserve">Geschäftsräume den Nutzungstätigkeit </w:t>
      </w:r>
      <w:r w:rsidRPr="00E57521">
        <w:rPr>
          <w:rFonts w:cs="Times New Roman"/>
        </w:rPr>
        <w:t>des Mie</w:t>
      </w:r>
      <w:r w:rsidR="00F761A4">
        <w:rPr>
          <w:rFonts w:cs="Times New Roman"/>
        </w:rPr>
        <w:t>ters, nicht aber die Gebrauchsv</w:t>
      </w:r>
      <w:r w:rsidRPr="00E57521">
        <w:rPr>
          <w:rFonts w:cs="Times New Roman"/>
        </w:rPr>
        <w:t>erschaffungspflicht des Vermieters betrifft, bleibt dem Mieter zur Mietzahlung verpflichtet. Eine Vertragsanpassung nach § 313 Abs. 1 BGB kommt im konkreten Einzelfall ebenfalls nicht in Betracht. Zwar stellt die Schließungsanordnung eine Störung der Geschäftsgrundlage dar. Unter Abwägung insbesondere der vertraglichen Risikoverteilung kommt eine Vertragsanpassung allenfalls dann in Betracht, wenn der Mieter eine Existenzgefährdung oder eine vergleichbare unzumutbare wirtschaftliche Beeinträchtigung darlegt und nachweist. Allein der Hinweis auf Umsatzausfälle ist insoweit unzureichend</w:t>
      </w:r>
      <w:r w:rsidR="00F761A4">
        <w:rPr>
          <w:rFonts w:cs="Times New Roman"/>
        </w:rPr>
        <w:t>.</w:t>
      </w:r>
    </w:p>
    <w:p w:rsidR="00F761A4" w:rsidRDefault="00F761A4" w:rsidP="00E57521">
      <w:pPr>
        <w:pStyle w:val="KeinLeerraum"/>
        <w:jc w:val="both"/>
        <w:rPr>
          <w:rFonts w:cs="Times New Roman"/>
        </w:rPr>
      </w:pPr>
    </w:p>
    <w:p w:rsidR="00F761A4" w:rsidRPr="00F761A4" w:rsidRDefault="00F761A4" w:rsidP="00E57521">
      <w:pPr>
        <w:pStyle w:val="KeinLeerraum"/>
        <w:jc w:val="both"/>
        <w:rPr>
          <w:rFonts w:cs="Times New Roman"/>
          <w:b/>
        </w:rPr>
      </w:pPr>
      <w:r w:rsidRPr="00F761A4">
        <w:rPr>
          <w:rFonts w:cs="Times New Roman"/>
          <w:b/>
        </w:rPr>
        <w:t>Keine Eigentümerversammlung an religiösen Festtagen</w:t>
      </w:r>
    </w:p>
    <w:p w:rsidR="00F761A4" w:rsidRDefault="00F761A4" w:rsidP="00E57521">
      <w:pPr>
        <w:pStyle w:val="KeinLeerraum"/>
        <w:jc w:val="both"/>
        <w:rPr>
          <w:rFonts w:cs="Times New Roman"/>
        </w:rPr>
      </w:pPr>
    </w:p>
    <w:p w:rsidR="00F761A4" w:rsidRDefault="00F761A4" w:rsidP="00E57521">
      <w:pPr>
        <w:pStyle w:val="KeinLeerraum"/>
        <w:jc w:val="both"/>
        <w:rPr>
          <w:rFonts w:cs="Times New Roman"/>
        </w:rPr>
      </w:pPr>
      <w:r w:rsidRPr="00F761A4">
        <w:rPr>
          <w:rFonts w:cs="Times New Roman"/>
        </w:rPr>
        <w:t xml:space="preserve">Das </w:t>
      </w:r>
      <w:r w:rsidRPr="00F761A4">
        <w:rPr>
          <w:rFonts w:cs="Times New Roman"/>
          <w:b/>
        </w:rPr>
        <w:t>Landgericht München</w:t>
      </w:r>
      <w:r w:rsidRPr="00F761A4">
        <w:rPr>
          <w:rFonts w:cs="Times New Roman"/>
        </w:rPr>
        <w:t xml:space="preserve"> </w:t>
      </w:r>
      <w:r>
        <w:rPr>
          <w:rFonts w:cs="Times New Roman"/>
        </w:rPr>
        <w:t>I</w:t>
      </w:r>
      <w:r w:rsidRPr="00F761A4">
        <w:rPr>
          <w:rFonts w:cs="Times New Roman"/>
        </w:rPr>
        <w:t xml:space="preserve"> hat mit Beschluss vom 20.02.2020 festgestellt, dass bei der Terminierung einer Eigentümerversammlung stets zu berücksichtigen ist, dass die Teilnahmemöglichkeit der Wohnungseigentümer an der Versammlung ein zentrales Mitgliedschaf</w:t>
      </w:r>
      <w:r>
        <w:rPr>
          <w:rFonts w:cs="Times New Roman"/>
        </w:rPr>
        <w:t>tsrecht ist, dass durch eine un</w:t>
      </w:r>
      <w:r w:rsidRPr="00F761A4">
        <w:rPr>
          <w:rFonts w:cs="Times New Roman"/>
        </w:rPr>
        <w:t xml:space="preserve">zeitige Terminbestimmung nicht verkürzt oder gar vereitelt werden darf. Ebenso wie eine Versammlung am Heiligen Abend zu Unzeit wäre, ist dies auch am </w:t>
      </w:r>
      <w:r>
        <w:rPr>
          <w:rFonts w:cs="Times New Roman"/>
        </w:rPr>
        <w:t>Sedera</w:t>
      </w:r>
      <w:r w:rsidRPr="00F761A4">
        <w:rPr>
          <w:rFonts w:cs="Times New Roman"/>
        </w:rPr>
        <w:t xml:space="preserve">bend (Beginn des jüdischen </w:t>
      </w:r>
      <w:r>
        <w:rPr>
          <w:rFonts w:cs="Times New Roman"/>
        </w:rPr>
        <w:t>Pessachfestes</w:t>
      </w:r>
      <w:r w:rsidRPr="00F761A4">
        <w:rPr>
          <w:rFonts w:cs="Times New Roman"/>
        </w:rPr>
        <w:t xml:space="preserve">), wenn einer der Wohnungseigentümer sich darauf beruft, </w:t>
      </w:r>
      <w:r>
        <w:rPr>
          <w:rFonts w:cs="Times New Roman"/>
        </w:rPr>
        <w:t>diesen aufgrund seines Glaubens f</w:t>
      </w:r>
      <w:r w:rsidRPr="00F761A4">
        <w:rPr>
          <w:rFonts w:cs="Times New Roman"/>
        </w:rPr>
        <w:t>eiern zu wollen, statt an der Versammlung teilzunehmen. Kann ein Eigentümer aufgrund der Ladung zu Unzeit nicht teilnehmen, ist regelmäßig davon auszugeh</w:t>
      </w:r>
      <w:r>
        <w:rPr>
          <w:rFonts w:cs="Times New Roman"/>
        </w:rPr>
        <w:t>en, dass sich dieser Beschlussm</w:t>
      </w:r>
      <w:r w:rsidRPr="00F761A4">
        <w:rPr>
          <w:rFonts w:cs="Times New Roman"/>
        </w:rPr>
        <w:t>angel auf das Abstimmungsergebnis ausgewirkt hat. Etwas anderes gilt nur, wenn die entsprechenden Beschlüsse auf einer weiteren Versammlung bestätigt werden, diesmal in Anwesenheit des Eigentümers</w:t>
      </w:r>
      <w:r>
        <w:rPr>
          <w:rFonts w:cs="Times New Roman"/>
        </w:rPr>
        <w:t>.</w:t>
      </w:r>
    </w:p>
    <w:p w:rsidR="00F761A4" w:rsidRDefault="00F761A4" w:rsidP="00E57521">
      <w:pPr>
        <w:pStyle w:val="KeinLeerraum"/>
        <w:jc w:val="both"/>
        <w:rPr>
          <w:rFonts w:cs="Times New Roman"/>
        </w:rPr>
      </w:pPr>
    </w:p>
    <w:p w:rsidR="00F761A4" w:rsidRDefault="00F761A4" w:rsidP="00F761A4">
      <w:pPr>
        <w:pStyle w:val="KeinLeerraum"/>
        <w:jc w:val="both"/>
        <w:rPr>
          <w:rFonts w:cs="Times New Roman"/>
          <w:b/>
        </w:rPr>
      </w:pPr>
      <w:r w:rsidRPr="00F761A4">
        <w:rPr>
          <w:rFonts w:cs="Times New Roman"/>
          <w:b/>
        </w:rPr>
        <w:t>Medizintourismus führt zur Wohnraum Zweckentfremdung</w:t>
      </w:r>
    </w:p>
    <w:p w:rsidR="00F761A4" w:rsidRPr="00F761A4" w:rsidRDefault="00F761A4" w:rsidP="00F761A4">
      <w:pPr>
        <w:pStyle w:val="KeinLeerraum"/>
        <w:jc w:val="both"/>
        <w:rPr>
          <w:rFonts w:cs="Times New Roman"/>
          <w:b/>
        </w:rPr>
      </w:pPr>
    </w:p>
    <w:p w:rsidR="00F761A4" w:rsidRDefault="00F761A4" w:rsidP="00F761A4">
      <w:pPr>
        <w:pStyle w:val="KeinLeerraum"/>
        <w:jc w:val="both"/>
        <w:rPr>
          <w:rFonts w:cs="Times New Roman"/>
        </w:rPr>
      </w:pPr>
      <w:r>
        <w:rPr>
          <w:rFonts w:cs="Times New Roman"/>
        </w:rPr>
        <w:t>D</w:t>
      </w:r>
      <w:r w:rsidRPr="00F761A4">
        <w:rPr>
          <w:rFonts w:cs="Times New Roman"/>
        </w:rPr>
        <w:t xml:space="preserve">as </w:t>
      </w:r>
      <w:r w:rsidRPr="00F761A4">
        <w:rPr>
          <w:rFonts w:cs="Times New Roman"/>
          <w:b/>
        </w:rPr>
        <w:t>Verwaltungsgericht München</w:t>
      </w:r>
      <w:r w:rsidRPr="00F761A4">
        <w:rPr>
          <w:rFonts w:cs="Times New Roman"/>
        </w:rPr>
        <w:t xml:space="preserve"> hat mit Urteil vom 08.01.2020 entschieden, dass derjenige, der seine Wohnung wiederholt an </w:t>
      </w:r>
      <w:r>
        <w:rPr>
          <w:rFonts w:cs="Times New Roman"/>
        </w:rPr>
        <w:t>wechselnde</w:t>
      </w:r>
      <w:r w:rsidRPr="00F761A4">
        <w:rPr>
          <w:rFonts w:cs="Times New Roman"/>
        </w:rPr>
        <w:t xml:space="preserve"> Personen, die sich dort nur vorübergehend zum Zwecke einer medizinischen Behandlung aufhalten, überlässt, das Nutzungskonzept einer </w:t>
      </w:r>
      <w:r>
        <w:rPr>
          <w:rFonts w:cs="Times New Roman"/>
        </w:rPr>
        <w:t>Fremdb</w:t>
      </w:r>
      <w:r w:rsidRPr="00F761A4">
        <w:rPr>
          <w:rFonts w:cs="Times New Roman"/>
        </w:rPr>
        <w:t xml:space="preserve">eherbergung verfolgt. Die Nutzung durch Medizintourismus zeichnet sich durch die übergangsweise vorübergehende </w:t>
      </w:r>
      <w:r>
        <w:rPr>
          <w:rFonts w:cs="Times New Roman"/>
        </w:rPr>
        <w:t xml:space="preserve">Nutzung </w:t>
      </w:r>
      <w:r w:rsidRPr="00F761A4">
        <w:rPr>
          <w:rFonts w:cs="Times New Roman"/>
        </w:rPr>
        <w:t xml:space="preserve">der Wohnung aus mit der Folge, dass die Wohnung nicht mehr der Funktion einer </w:t>
      </w:r>
      <w:r>
        <w:rPr>
          <w:rFonts w:cs="Times New Roman"/>
        </w:rPr>
        <w:t>„Heimstatt im Alltag“</w:t>
      </w:r>
      <w:r w:rsidRPr="00F761A4">
        <w:rPr>
          <w:rFonts w:cs="Times New Roman"/>
        </w:rPr>
        <w:t>hat</w:t>
      </w:r>
      <w:r>
        <w:rPr>
          <w:rFonts w:cs="Times New Roman"/>
        </w:rPr>
        <w:t>.</w:t>
      </w:r>
    </w:p>
    <w:p w:rsidR="006F54D8" w:rsidRDefault="006F54D8" w:rsidP="00F761A4">
      <w:pPr>
        <w:pStyle w:val="KeinLeerraum"/>
        <w:jc w:val="both"/>
        <w:rPr>
          <w:rFonts w:cs="Times New Roman"/>
        </w:rPr>
      </w:pPr>
    </w:p>
    <w:p w:rsidR="006F54D8" w:rsidRDefault="006F54D8" w:rsidP="00F761A4">
      <w:pPr>
        <w:pStyle w:val="KeinLeerraum"/>
        <w:jc w:val="both"/>
        <w:rPr>
          <w:rFonts w:cs="Times New Roman"/>
        </w:rPr>
      </w:pPr>
    </w:p>
    <w:p w:rsidR="006F54D8" w:rsidRPr="006F54D8" w:rsidRDefault="006F54D8" w:rsidP="00F761A4">
      <w:pPr>
        <w:pStyle w:val="KeinLeerraum"/>
        <w:jc w:val="both"/>
        <w:rPr>
          <w:rFonts w:cs="Times New Roman"/>
          <w:b/>
        </w:rPr>
      </w:pPr>
      <w:r w:rsidRPr="006F54D8">
        <w:rPr>
          <w:rFonts w:cs="Times New Roman"/>
          <w:b/>
        </w:rPr>
        <w:t>Konkurrierender Zugriff</w:t>
      </w:r>
      <w:r w:rsidRPr="006F54D8">
        <w:rPr>
          <w:rFonts w:cs="Times New Roman"/>
        </w:rPr>
        <w:t xml:space="preserve"> </w:t>
      </w:r>
      <w:r w:rsidRPr="006F54D8">
        <w:rPr>
          <w:rFonts w:cs="Times New Roman"/>
          <w:b/>
        </w:rPr>
        <w:t>Eigentümergemeinschaft und Staatsanwaltschaft bei Vollstreckung in Wohnung</w:t>
      </w:r>
    </w:p>
    <w:p w:rsidR="006F54D8" w:rsidRDefault="006F54D8" w:rsidP="00F761A4">
      <w:pPr>
        <w:pStyle w:val="KeinLeerraum"/>
        <w:jc w:val="both"/>
        <w:rPr>
          <w:rFonts w:cs="Times New Roman"/>
        </w:rPr>
      </w:pPr>
    </w:p>
    <w:p w:rsidR="006F54D8" w:rsidRDefault="006F54D8" w:rsidP="00F761A4">
      <w:pPr>
        <w:pStyle w:val="KeinLeerraum"/>
        <w:jc w:val="both"/>
        <w:rPr>
          <w:rFonts w:cs="Times New Roman"/>
        </w:rPr>
      </w:pPr>
      <w:r w:rsidRPr="006F54D8">
        <w:rPr>
          <w:rFonts w:cs="Times New Roman"/>
        </w:rPr>
        <w:t xml:space="preserve">Der </w:t>
      </w:r>
      <w:r w:rsidRPr="006F54D8">
        <w:rPr>
          <w:rFonts w:cs="Times New Roman"/>
          <w:b/>
        </w:rPr>
        <w:t>BGH</w:t>
      </w:r>
      <w:r w:rsidRPr="006F54D8">
        <w:rPr>
          <w:rFonts w:cs="Times New Roman"/>
        </w:rPr>
        <w:t xml:space="preserve"> hat </w:t>
      </w:r>
      <w:r>
        <w:rPr>
          <w:rFonts w:cs="Times New Roman"/>
        </w:rPr>
        <w:t>einen</w:t>
      </w:r>
      <w:r w:rsidRPr="006F54D8">
        <w:rPr>
          <w:rFonts w:cs="Times New Roman"/>
        </w:rPr>
        <w:t xml:space="preserve"> Beschluss vom 28.05.2020 zum konkurrierenden Zugriff von Wohnungseigentümergemeinschaften und Staatsanwaltschaft auf die Eigentumswohnung im Wohngeld Verzug gefasst.</w:t>
      </w:r>
      <w:r>
        <w:rPr>
          <w:rFonts w:cs="Times New Roman"/>
        </w:rPr>
        <w:t xml:space="preserve"> </w:t>
      </w:r>
      <w:r w:rsidRPr="006F54D8">
        <w:rPr>
          <w:rFonts w:cs="Times New Roman"/>
        </w:rPr>
        <w:t xml:space="preserve">Das in § 111h Abs. 2 Satz 1 StPO angeordnete Vollstreckungsverbot gilt für alle in § 111 f. StPO geregelten, </w:t>
      </w:r>
      <w:r>
        <w:rPr>
          <w:rFonts w:cs="Times New Roman"/>
        </w:rPr>
        <w:t>in Vollziehung eines Vermögensa</w:t>
      </w:r>
      <w:r w:rsidRPr="006F54D8">
        <w:rPr>
          <w:rFonts w:cs="Times New Roman"/>
        </w:rPr>
        <w:t>rrestes entstehenden Sicherungsrechte der Staatsanwaltschaft, insbesondere greift es auch dann ein, wenn der Vermögens eines denn ein Grundstück bewirkt worden ist</w:t>
      </w:r>
      <w:r>
        <w:rPr>
          <w:rFonts w:cs="Times New Roman"/>
        </w:rPr>
        <w:t xml:space="preserve">. Das </w:t>
      </w:r>
      <w:r w:rsidRPr="006F54D8">
        <w:rPr>
          <w:rFonts w:cs="Times New Roman"/>
        </w:rPr>
        <w:t>Vollstreckungsverbot unterbindet nur die Zwangsvollstreckung aus Rechten, die gegenüber dem in Vollziehung des V</w:t>
      </w:r>
      <w:r>
        <w:rPr>
          <w:rFonts w:cs="Times New Roman"/>
        </w:rPr>
        <w:t>ermögensa</w:t>
      </w:r>
      <w:r w:rsidRPr="006F54D8">
        <w:rPr>
          <w:rFonts w:cs="Times New Roman"/>
        </w:rPr>
        <w:t>rrestes entstandenen Sicherungsrecht der Staatsanwaltschaft nachrangig sind</w:t>
      </w:r>
      <w:r>
        <w:rPr>
          <w:rFonts w:cs="Times New Roman"/>
        </w:rPr>
        <w:t xml:space="preserve">. </w:t>
      </w:r>
      <w:r w:rsidRPr="006F54D8">
        <w:rPr>
          <w:rFonts w:cs="Times New Roman"/>
        </w:rPr>
        <w:t>Vollstreckungsmaßnahmen anderer Gläubiger bleiben auch dann, wenn die Staatsanwaltschaft in Vollziehung des Arrestes die Eintragung einer Sicherungshypothek bewirkt hat, insoweit zulässig, als sie auf Rechten ber</w:t>
      </w:r>
      <w:r>
        <w:rPr>
          <w:rFonts w:cs="Times New Roman"/>
        </w:rPr>
        <w:t>uhen, die nach dem Rangklassens</w:t>
      </w:r>
      <w:r w:rsidRPr="006F54D8">
        <w:rPr>
          <w:rFonts w:cs="Times New Roman"/>
        </w:rPr>
        <w:t xml:space="preserve">ystem des § 10 ZVG Vorrang genießen. Infolgedessen kann eine Wohnungseigentümergemeinschaft weiterhin die Zwangsversteigerung wegen Ansprüchen der Rangklasse </w:t>
      </w:r>
      <w:r>
        <w:rPr>
          <w:rFonts w:cs="Times New Roman"/>
        </w:rPr>
        <w:t>2</w:t>
      </w:r>
      <w:r w:rsidRPr="006F54D8">
        <w:rPr>
          <w:rFonts w:cs="Times New Roman"/>
        </w:rPr>
        <w:t xml:space="preserve"> des § 10 Abs. 1 ZVG betreiben</w:t>
      </w:r>
      <w:r>
        <w:rPr>
          <w:rFonts w:cs="Times New Roman"/>
        </w:rPr>
        <w:t>.</w:t>
      </w:r>
    </w:p>
    <w:p w:rsidR="006F54D8" w:rsidRDefault="006F54D8" w:rsidP="00F761A4">
      <w:pPr>
        <w:pStyle w:val="KeinLeerraum"/>
        <w:jc w:val="both"/>
        <w:rPr>
          <w:rFonts w:cs="Times New Roman"/>
        </w:rPr>
      </w:pPr>
    </w:p>
    <w:p w:rsidR="006F54D8" w:rsidRPr="00D63FA2" w:rsidRDefault="00D63FA2" w:rsidP="00F761A4">
      <w:pPr>
        <w:pStyle w:val="KeinLeerraum"/>
        <w:jc w:val="both"/>
        <w:rPr>
          <w:rFonts w:cs="Times New Roman"/>
          <w:b/>
        </w:rPr>
      </w:pPr>
      <w:r w:rsidRPr="00D63FA2">
        <w:rPr>
          <w:rFonts w:cs="Times New Roman"/>
          <w:b/>
        </w:rPr>
        <w:t>Trittschallveränderung in der WEG</w:t>
      </w:r>
    </w:p>
    <w:p w:rsidR="00D63FA2" w:rsidRDefault="00D63FA2" w:rsidP="00F761A4">
      <w:pPr>
        <w:pStyle w:val="KeinLeerraum"/>
        <w:jc w:val="both"/>
        <w:rPr>
          <w:rFonts w:cs="Times New Roman"/>
        </w:rPr>
      </w:pPr>
    </w:p>
    <w:p w:rsidR="00D63FA2" w:rsidRDefault="00D63FA2" w:rsidP="00F761A4">
      <w:pPr>
        <w:pStyle w:val="KeinLeerraum"/>
        <w:jc w:val="both"/>
        <w:rPr>
          <w:rFonts w:cs="Times New Roman"/>
        </w:rPr>
      </w:pPr>
      <w:r w:rsidRPr="00D63FA2">
        <w:rPr>
          <w:rFonts w:cs="Times New Roman"/>
        </w:rPr>
        <w:t xml:space="preserve">Der </w:t>
      </w:r>
      <w:r w:rsidRPr="00D63FA2">
        <w:rPr>
          <w:rFonts w:cs="Times New Roman"/>
          <w:b/>
        </w:rPr>
        <w:t>BGH</w:t>
      </w:r>
      <w:r w:rsidRPr="00D63FA2">
        <w:rPr>
          <w:rFonts w:cs="Times New Roman"/>
        </w:rPr>
        <w:t xml:space="preserve"> hat mit Urteil vom 26.06.2020 entschieden, dass der Wohnungseigentümer, der durch Auswechslung des Bodenbelags den </w:t>
      </w:r>
      <w:r>
        <w:rPr>
          <w:rFonts w:cs="Times New Roman"/>
        </w:rPr>
        <w:t>Trittachall</w:t>
      </w:r>
      <w:r w:rsidRPr="00D63FA2">
        <w:rPr>
          <w:rFonts w:cs="Times New Roman"/>
        </w:rPr>
        <w:t xml:space="preserve"> über das zulässige Maß hinaus verändert, auch dafür einstehen muss, wenn eine mangelhafte Trittschallisolierung des gemei</w:t>
      </w:r>
      <w:r>
        <w:rPr>
          <w:rFonts w:cs="Times New Roman"/>
        </w:rPr>
        <w:t>nschaftlichen Eigentums (mit)</w:t>
      </w:r>
      <w:r w:rsidRPr="00D63FA2">
        <w:rPr>
          <w:rFonts w:cs="Times New Roman"/>
        </w:rPr>
        <w:t>ursächlich ist</w:t>
      </w:r>
      <w:r>
        <w:rPr>
          <w:rFonts w:cs="Times New Roman"/>
        </w:rPr>
        <w:t>.</w:t>
      </w:r>
      <w:r w:rsidRPr="00D63FA2">
        <w:t xml:space="preserve"> </w:t>
      </w:r>
      <w:r w:rsidRPr="00D63FA2">
        <w:rPr>
          <w:rFonts w:cs="Times New Roman"/>
        </w:rPr>
        <w:t xml:space="preserve">Nach § 14 Nr. 1 WEG darf ein Wohnungseigentümer sein Sondereigentum nur in der Weise nutzen, das andere Gemeinschaftsmitglieder nicht über ein bei einem geordneten Zusammenleben unvermeidliche </w:t>
      </w:r>
      <w:r>
        <w:rPr>
          <w:rFonts w:cs="Times New Roman"/>
        </w:rPr>
        <w:t>hinaus</w:t>
      </w:r>
      <w:r w:rsidRPr="00D63FA2">
        <w:rPr>
          <w:rFonts w:cs="Times New Roman"/>
        </w:rPr>
        <w:t xml:space="preserve"> beeinträchtigt werden. Durch die Verschlechterung des Sc</w:t>
      </w:r>
      <w:r>
        <w:rPr>
          <w:rFonts w:cs="Times New Roman"/>
        </w:rPr>
        <w:t>hallschutzes infolge des Belagw</w:t>
      </w:r>
      <w:r w:rsidRPr="00D63FA2">
        <w:rPr>
          <w:rFonts w:cs="Times New Roman"/>
        </w:rPr>
        <w:t xml:space="preserve">echsels </w:t>
      </w:r>
      <w:r>
        <w:rPr>
          <w:rFonts w:cs="Times New Roman"/>
        </w:rPr>
        <w:t>ist jedoch ein solcher Nachteil</w:t>
      </w:r>
      <w:r w:rsidRPr="00D63FA2">
        <w:rPr>
          <w:rFonts w:cs="Times New Roman"/>
        </w:rPr>
        <w:t xml:space="preserve"> eingetreten, den der Beklagte verursacht hat, auch wenn die Trittschalldämmung des gemeinschaftlichen Eigentums zuvor unzureichend war. Etwas anderes gilt nur dann, wenn der Wohnungseigentümer nicht mit zumutbaren</w:t>
      </w:r>
      <w:r>
        <w:rPr>
          <w:rFonts w:cs="Times New Roman"/>
        </w:rPr>
        <w:t xml:space="preserve"> Mitteln Abhilfe schaffen kann. D</w:t>
      </w:r>
      <w:r w:rsidRPr="00D63FA2">
        <w:rPr>
          <w:rFonts w:cs="Times New Roman"/>
        </w:rPr>
        <w:t>urch den Austausch von Fliesen gegen Teppichboden oder einen anderen weniger beeinträchtigen den Bodenbelag ist ihm dies aber möglich. Demgegenüber sind die Kosten für eine Ertüchtigung des Estrichs wesentlich höher</w:t>
      </w:r>
      <w:r>
        <w:rPr>
          <w:rFonts w:cs="Times New Roman"/>
        </w:rPr>
        <w:t>.</w:t>
      </w:r>
    </w:p>
    <w:p w:rsidR="00D63FA2" w:rsidRDefault="00D63FA2" w:rsidP="00F761A4">
      <w:pPr>
        <w:pStyle w:val="KeinLeerraum"/>
        <w:jc w:val="both"/>
        <w:rPr>
          <w:rFonts w:cs="Times New Roman"/>
        </w:rPr>
      </w:pPr>
    </w:p>
    <w:p w:rsidR="00D63FA2" w:rsidRDefault="00D63FA2" w:rsidP="00F761A4">
      <w:pPr>
        <w:pStyle w:val="KeinLeerraum"/>
        <w:jc w:val="both"/>
        <w:rPr>
          <w:rFonts w:cs="Times New Roman"/>
        </w:rPr>
      </w:pPr>
      <w:r w:rsidRPr="00D63FA2">
        <w:rPr>
          <w:rFonts w:cs="Times New Roman"/>
        </w:rPr>
        <w:t>Diese Entscheidung führt dazu, dass ein Wohnungseigentümer bei der Gestaltung seiner Einrichtung, und zwar unabhängig von der Höhe der jeweiligen Kosten, gegebenenfalls Nachlässigkeiten und Defizite des Gemeinschaftseigentums ausgleichen muss. Hierfür findet sich eigentlich im WEG keine Grundlage. Es handelt sich hier um eine Einzelfa</w:t>
      </w:r>
      <w:r>
        <w:rPr>
          <w:rFonts w:cs="Times New Roman"/>
        </w:rPr>
        <w:t>llentscheidung, verallgemeinernde</w:t>
      </w:r>
      <w:r w:rsidRPr="00D63FA2">
        <w:rPr>
          <w:rFonts w:cs="Times New Roman"/>
        </w:rPr>
        <w:t xml:space="preserve"> Erkenntnisse sollten nicht entnommen werden</w:t>
      </w:r>
      <w:r>
        <w:rPr>
          <w:rFonts w:cs="Times New Roman"/>
        </w:rPr>
        <w:t>.</w:t>
      </w:r>
    </w:p>
    <w:p w:rsidR="00F35C8F" w:rsidRDefault="00F35C8F" w:rsidP="00F761A4">
      <w:pPr>
        <w:pStyle w:val="KeinLeerraum"/>
        <w:jc w:val="both"/>
        <w:rPr>
          <w:rFonts w:cs="Times New Roman"/>
        </w:rPr>
      </w:pPr>
    </w:p>
    <w:p w:rsidR="00784DA9" w:rsidRDefault="00784DA9" w:rsidP="00D76018">
      <w:pPr>
        <w:pStyle w:val="KeinLeerraum"/>
        <w:jc w:val="both"/>
        <w:rPr>
          <w:rFonts w:cs="Times New Roman"/>
        </w:rPr>
      </w:pPr>
      <w:bookmarkStart w:id="0" w:name="_GoBack"/>
      <w:bookmarkEnd w:id="0"/>
    </w:p>
    <w:p w:rsidR="007C427B" w:rsidRDefault="00655F43" w:rsidP="00F16BD1">
      <w:pPr>
        <w:pStyle w:val="KeinLeerraum"/>
        <w:jc w:val="both"/>
        <w:rPr>
          <w:rFonts w:cs="Times New Roman"/>
        </w:rPr>
      </w:pPr>
      <w:r w:rsidRPr="00655F43">
        <w:rPr>
          <w:rFonts w:cs="Times New Roman"/>
        </w:rPr>
        <w:t xml:space="preserve">Verpflichtet. Verpflichtet. verpflichtet. zum Ersatz der hieraus entstandenen Schäden verpflichtet. </w:t>
      </w:r>
      <w:r w:rsidR="00422D09" w:rsidRPr="00421B19">
        <w:rPr>
          <w:noProof/>
          <w:lang w:eastAsia="de-DE"/>
        </w:rPr>
        <mc:AlternateContent>
          <mc:Choice Requires="wps">
            <w:drawing>
              <wp:anchor distT="0" distB="0" distL="114300" distR="114300" simplePos="0" relativeHeight="251662848" behindDoc="0" locked="0" layoutInCell="1" allowOverlap="1" wp14:anchorId="16665136" wp14:editId="6E463073">
                <wp:simplePos x="0" y="0"/>
                <wp:positionH relativeFrom="column">
                  <wp:posOffset>-18161</wp:posOffset>
                </wp:positionH>
                <wp:positionV relativeFrom="paragraph">
                  <wp:posOffset>31191</wp:posOffset>
                </wp:positionV>
                <wp:extent cx="2660650" cy="2487168"/>
                <wp:effectExtent l="0" t="0" r="25400" b="279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487168"/>
                        </a:xfrm>
                        <a:prstGeom prst="rect">
                          <a:avLst/>
                        </a:prstGeom>
                        <a:solidFill>
                          <a:srgbClr val="FFFFFF"/>
                        </a:solidFill>
                        <a:ln w="9525">
                          <a:solidFill>
                            <a:srgbClr val="000000"/>
                          </a:solidFill>
                          <a:miter lim="800000"/>
                          <a:headEnd/>
                          <a:tailEnd/>
                        </a:ln>
                      </wps:spPr>
                      <wps:txb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65136" id="_x0000_s1027" type="#_x0000_t202" style="position:absolute;left:0;text-align:left;margin-left:-1.45pt;margin-top:2.45pt;width:209.5pt;height:19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">
                <v:textbo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v:textbox>
              </v:shape>
            </w:pict>
          </mc:Fallback>
        </mc:AlternateContent>
      </w:r>
    </w:p>
    <w:p w:rsidR="007C427B" w:rsidRDefault="007C427B" w:rsidP="00F16BD1">
      <w:pPr>
        <w:pStyle w:val="KeinLeerraum"/>
        <w:jc w:val="both"/>
        <w:rPr>
          <w:rFonts w:cs="Times New Roman"/>
        </w:rPr>
      </w:pPr>
    </w:p>
    <w:p w:rsidR="007C427B" w:rsidRDefault="007C427B" w:rsidP="00F16BD1">
      <w:pPr>
        <w:pStyle w:val="KeinLeerraum"/>
        <w:jc w:val="both"/>
        <w:rPr>
          <w:rFonts w:cs="Times New Roman"/>
        </w:rPr>
      </w:pPr>
    </w:p>
    <w:p w:rsidR="0041131A" w:rsidRDefault="0041131A" w:rsidP="00F16BD1">
      <w:pPr>
        <w:pStyle w:val="KeinLeerraum"/>
        <w:jc w:val="both"/>
        <w:rPr>
          <w:rFonts w:cs="Times New Roman"/>
        </w:rPr>
      </w:pPr>
    </w:p>
    <w:p w:rsidR="007C427B" w:rsidRDefault="007C427B" w:rsidP="00F16BD1">
      <w:pPr>
        <w:pStyle w:val="KeinLeerraum"/>
        <w:jc w:val="both"/>
        <w:rPr>
          <w:rFonts w:cs="Times New Roman"/>
        </w:rPr>
      </w:pPr>
    </w:p>
    <w:p w:rsidR="007C427B" w:rsidRDefault="007C427B" w:rsidP="00F16BD1">
      <w:pPr>
        <w:pStyle w:val="KeinLeerraum"/>
        <w:jc w:val="both"/>
        <w:rPr>
          <w:rFonts w:cs="Times New Roman"/>
        </w:rPr>
      </w:pPr>
    </w:p>
    <w:p w:rsidR="007C427B" w:rsidRDefault="007C427B" w:rsidP="00F16BD1">
      <w:pPr>
        <w:pStyle w:val="KeinLeerraum"/>
        <w:jc w:val="both"/>
        <w:rPr>
          <w:rFonts w:cs="Times New Roman"/>
        </w:rPr>
      </w:pPr>
    </w:p>
    <w:p w:rsidR="007C427B" w:rsidRDefault="007C427B" w:rsidP="00F16BD1">
      <w:pPr>
        <w:pStyle w:val="KeinLeerraum"/>
        <w:jc w:val="both"/>
        <w:rPr>
          <w:rFonts w:cs="Times New Roman"/>
        </w:rPr>
      </w:pPr>
    </w:p>
    <w:p w:rsidR="007C427B" w:rsidRPr="0041131A" w:rsidRDefault="007C427B" w:rsidP="00F16BD1">
      <w:pPr>
        <w:pStyle w:val="KeinLeerraum"/>
        <w:jc w:val="both"/>
        <w:rPr>
          <w:rFonts w:cs="Times New Roman"/>
        </w:rPr>
      </w:pPr>
    </w:p>
    <w:p w:rsidR="001E5344" w:rsidRDefault="001E5344" w:rsidP="00F16BD1">
      <w:pPr>
        <w:pStyle w:val="KeinLeerraum"/>
        <w:jc w:val="both"/>
        <w:rPr>
          <w:rFonts w:cs="Times New Roman"/>
        </w:rPr>
      </w:pPr>
    </w:p>
    <w:sectPr w:rsidR="001E5344" w:rsidSect="00107AE4">
      <w:pgSz w:w="11906" w:h="16838"/>
      <w:pgMar w:top="1417" w:right="1417" w:bottom="1134" w:left="1417"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pperplate33BC">
    <w:panose1 w:val="00000500000000000000"/>
    <w:charset w:val="00"/>
    <w:family w:val="roman"/>
    <w:notTrueType/>
    <w:pitch w:val="variable"/>
    <w:sig w:usb0="00000003" w:usb1="00000000" w:usb2="00000000" w:usb3="00000000" w:csb0="00000001" w:csb1="00000000"/>
  </w:font>
  <w:font w:name="Copperplate32BC">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800BF"/>
    <w:multiLevelType w:val="multilevel"/>
    <w:tmpl w:val="A666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E7C51"/>
    <w:multiLevelType w:val="hybridMultilevel"/>
    <w:tmpl w:val="838891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510572A"/>
    <w:multiLevelType w:val="hybridMultilevel"/>
    <w:tmpl w:val="D17C2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1E"/>
    <w:rsid w:val="0000539D"/>
    <w:rsid w:val="00012FB5"/>
    <w:rsid w:val="00023589"/>
    <w:rsid w:val="00030C57"/>
    <w:rsid w:val="00037A29"/>
    <w:rsid w:val="00041914"/>
    <w:rsid w:val="000460E5"/>
    <w:rsid w:val="00051F36"/>
    <w:rsid w:val="00052640"/>
    <w:rsid w:val="00054BE3"/>
    <w:rsid w:val="000557B2"/>
    <w:rsid w:val="0005639D"/>
    <w:rsid w:val="0005726D"/>
    <w:rsid w:val="0006078E"/>
    <w:rsid w:val="0006423F"/>
    <w:rsid w:val="0006635C"/>
    <w:rsid w:val="000669C3"/>
    <w:rsid w:val="00077791"/>
    <w:rsid w:val="000874D5"/>
    <w:rsid w:val="00093902"/>
    <w:rsid w:val="000A022A"/>
    <w:rsid w:val="000A4194"/>
    <w:rsid w:val="000A7DE0"/>
    <w:rsid w:val="000B22A0"/>
    <w:rsid w:val="000B46AE"/>
    <w:rsid w:val="000B50DC"/>
    <w:rsid w:val="000C477F"/>
    <w:rsid w:val="000C6C0A"/>
    <w:rsid w:val="000E1FE5"/>
    <w:rsid w:val="000E41B8"/>
    <w:rsid w:val="000E5115"/>
    <w:rsid w:val="000F0CA3"/>
    <w:rsid w:val="000F1727"/>
    <w:rsid w:val="000F4FD9"/>
    <w:rsid w:val="00100EB4"/>
    <w:rsid w:val="00101E98"/>
    <w:rsid w:val="00107AE4"/>
    <w:rsid w:val="00111066"/>
    <w:rsid w:val="0011246D"/>
    <w:rsid w:val="00112CFD"/>
    <w:rsid w:val="00124835"/>
    <w:rsid w:val="0013254E"/>
    <w:rsid w:val="00134C7F"/>
    <w:rsid w:val="001375AE"/>
    <w:rsid w:val="00140F8A"/>
    <w:rsid w:val="00141F2D"/>
    <w:rsid w:val="00162CAC"/>
    <w:rsid w:val="00174475"/>
    <w:rsid w:val="001745A0"/>
    <w:rsid w:val="00175CBB"/>
    <w:rsid w:val="001815DE"/>
    <w:rsid w:val="00186245"/>
    <w:rsid w:val="001942BA"/>
    <w:rsid w:val="00196A92"/>
    <w:rsid w:val="001A4642"/>
    <w:rsid w:val="001A57EF"/>
    <w:rsid w:val="001A7722"/>
    <w:rsid w:val="001B27FD"/>
    <w:rsid w:val="001B2F23"/>
    <w:rsid w:val="001B6576"/>
    <w:rsid w:val="001C1780"/>
    <w:rsid w:val="001E1622"/>
    <w:rsid w:val="001E1FDB"/>
    <w:rsid w:val="001E4E3A"/>
    <w:rsid w:val="001E5344"/>
    <w:rsid w:val="001E5925"/>
    <w:rsid w:val="001F5A84"/>
    <w:rsid w:val="002004DE"/>
    <w:rsid w:val="00201A3E"/>
    <w:rsid w:val="00202F29"/>
    <w:rsid w:val="002134DA"/>
    <w:rsid w:val="00214473"/>
    <w:rsid w:val="0021540D"/>
    <w:rsid w:val="00215460"/>
    <w:rsid w:val="002205F8"/>
    <w:rsid w:val="0022136B"/>
    <w:rsid w:val="0022361D"/>
    <w:rsid w:val="00230551"/>
    <w:rsid w:val="00232F4F"/>
    <w:rsid w:val="00236A45"/>
    <w:rsid w:val="002370DE"/>
    <w:rsid w:val="00256516"/>
    <w:rsid w:val="00264863"/>
    <w:rsid w:val="00265A05"/>
    <w:rsid w:val="00271141"/>
    <w:rsid w:val="00294681"/>
    <w:rsid w:val="002A1EF2"/>
    <w:rsid w:val="002A7469"/>
    <w:rsid w:val="002A7A9D"/>
    <w:rsid w:val="002B4C94"/>
    <w:rsid w:val="002C4D08"/>
    <w:rsid w:val="002D4B52"/>
    <w:rsid w:val="002E0B91"/>
    <w:rsid w:val="003001E5"/>
    <w:rsid w:val="00301F0E"/>
    <w:rsid w:val="0030310E"/>
    <w:rsid w:val="003076C1"/>
    <w:rsid w:val="00310591"/>
    <w:rsid w:val="00311678"/>
    <w:rsid w:val="003137BB"/>
    <w:rsid w:val="00314880"/>
    <w:rsid w:val="0032057B"/>
    <w:rsid w:val="0032308D"/>
    <w:rsid w:val="00324729"/>
    <w:rsid w:val="00326D33"/>
    <w:rsid w:val="003278EC"/>
    <w:rsid w:val="00327D32"/>
    <w:rsid w:val="00333BA2"/>
    <w:rsid w:val="00336775"/>
    <w:rsid w:val="00344EA1"/>
    <w:rsid w:val="0034564B"/>
    <w:rsid w:val="003522CD"/>
    <w:rsid w:val="0035647B"/>
    <w:rsid w:val="00360D25"/>
    <w:rsid w:val="00364A9D"/>
    <w:rsid w:val="00376F02"/>
    <w:rsid w:val="003805D4"/>
    <w:rsid w:val="003821D7"/>
    <w:rsid w:val="00385F93"/>
    <w:rsid w:val="00386426"/>
    <w:rsid w:val="00391243"/>
    <w:rsid w:val="003A3D51"/>
    <w:rsid w:val="003A4136"/>
    <w:rsid w:val="003A6384"/>
    <w:rsid w:val="003A66B3"/>
    <w:rsid w:val="003B068A"/>
    <w:rsid w:val="003B252E"/>
    <w:rsid w:val="003B2E5F"/>
    <w:rsid w:val="003B3EEB"/>
    <w:rsid w:val="003B4443"/>
    <w:rsid w:val="003B5986"/>
    <w:rsid w:val="003C3731"/>
    <w:rsid w:val="003D006E"/>
    <w:rsid w:val="003D22CC"/>
    <w:rsid w:val="003D5675"/>
    <w:rsid w:val="003D7858"/>
    <w:rsid w:val="003E1559"/>
    <w:rsid w:val="003E59C5"/>
    <w:rsid w:val="003F171B"/>
    <w:rsid w:val="003F79AF"/>
    <w:rsid w:val="004048FD"/>
    <w:rsid w:val="00406D4F"/>
    <w:rsid w:val="0041131A"/>
    <w:rsid w:val="00421B19"/>
    <w:rsid w:val="00422D09"/>
    <w:rsid w:val="004310C9"/>
    <w:rsid w:val="00452DD5"/>
    <w:rsid w:val="004530E6"/>
    <w:rsid w:val="00456F6B"/>
    <w:rsid w:val="00457C17"/>
    <w:rsid w:val="00463FF8"/>
    <w:rsid w:val="004643D5"/>
    <w:rsid w:val="00466682"/>
    <w:rsid w:val="00471137"/>
    <w:rsid w:val="00475064"/>
    <w:rsid w:val="00475C68"/>
    <w:rsid w:val="004850BB"/>
    <w:rsid w:val="004853B0"/>
    <w:rsid w:val="00493550"/>
    <w:rsid w:val="004937AC"/>
    <w:rsid w:val="004B2D14"/>
    <w:rsid w:val="004C6668"/>
    <w:rsid w:val="004E212C"/>
    <w:rsid w:val="004E2E95"/>
    <w:rsid w:val="004E5B6E"/>
    <w:rsid w:val="004F041F"/>
    <w:rsid w:val="004F0F1C"/>
    <w:rsid w:val="004F3F15"/>
    <w:rsid w:val="004F4D47"/>
    <w:rsid w:val="005027C3"/>
    <w:rsid w:val="00504CA6"/>
    <w:rsid w:val="005177A4"/>
    <w:rsid w:val="005226BB"/>
    <w:rsid w:val="00523B4D"/>
    <w:rsid w:val="005247B6"/>
    <w:rsid w:val="0054066F"/>
    <w:rsid w:val="00542A18"/>
    <w:rsid w:val="00545294"/>
    <w:rsid w:val="00551ADB"/>
    <w:rsid w:val="00552B5C"/>
    <w:rsid w:val="005567C3"/>
    <w:rsid w:val="005570D9"/>
    <w:rsid w:val="00564EBC"/>
    <w:rsid w:val="00566C7E"/>
    <w:rsid w:val="005671A6"/>
    <w:rsid w:val="00570F3B"/>
    <w:rsid w:val="00573F33"/>
    <w:rsid w:val="005754BD"/>
    <w:rsid w:val="005779EB"/>
    <w:rsid w:val="00577F14"/>
    <w:rsid w:val="0058003F"/>
    <w:rsid w:val="0058014E"/>
    <w:rsid w:val="00582153"/>
    <w:rsid w:val="005927E9"/>
    <w:rsid w:val="00594DB4"/>
    <w:rsid w:val="0059626E"/>
    <w:rsid w:val="005B308C"/>
    <w:rsid w:val="005B4907"/>
    <w:rsid w:val="005B71F4"/>
    <w:rsid w:val="005C31E1"/>
    <w:rsid w:val="005C553D"/>
    <w:rsid w:val="005D13B1"/>
    <w:rsid w:val="005E1A6E"/>
    <w:rsid w:val="005E1A86"/>
    <w:rsid w:val="005E7A6B"/>
    <w:rsid w:val="00605856"/>
    <w:rsid w:val="006102C1"/>
    <w:rsid w:val="006106D6"/>
    <w:rsid w:val="006209B9"/>
    <w:rsid w:val="006230F9"/>
    <w:rsid w:val="00623201"/>
    <w:rsid w:val="00634308"/>
    <w:rsid w:val="006361D2"/>
    <w:rsid w:val="0064187C"/>
    <w:rsid w:val="0064688B"/>
    <w:rsid w:val="00655F43"/>
    <w:rsid w:val="0065677F"/>
    <w:rsid w:val="00657ECD"/>
    <w:rsid w:val="00671966"/>
    <w:rsid w:val="00677504"/>
    <w:rsid w:val="00680628"/>
    <w:rsid w:val="00686F3A"/>
    <w:rsid w:val="00687B22"/>
    <w:rsid w:val="0069034D"/>
    <w:rsid w:val="006925CB"/>
    <w:rsid w:val="00697F68"/>
    <w:rsid w:val="006B28C0"/>
    <w:rsid w:val="006B6F81"/>
    <w:rsid w:val="006C63AC"/>
    <w:rsid w:val="006C7730"/>
    <w:rsid w:val="006D5A1E"/>
    <w:rsid w:val="006D5D8C"/>
    <w:rsid w:val="006E7255"/>
    <w:rsid w:val="006E7EE6"/>
    <w:rsid w:val="006F54D8"/>
    <w:rsid w:val="007156B8"/>
    <w:rsid w:val="00722716"/>
    <w:rsid w:val="007255D7"/>
    <w:rsid w:val="007304B9"/>
    <w:rsid w:val="0073400C"/>
    <w:rsid w:val="0075664B"/>
    <w:rsid w:val="00761A87"/>
    <w:rsid w:val="00763C22"/>
    <w:rsid w:val="00764BE7"/>
    <w:rsid w:val="0076545E"/>
    <w:rsid w:val="00766E60"/>
    <w:rsid w:val="00770CD4"/>
    <w:rsid w:val="00773E7C"/>
    <w:rsid w:val="00776757"/>
    <w:rsid w:val="00776EB2"/>
    <w:rsid w:val="00777989"/>
    <w:rsid w:val="0078104E"/>
    <w:rsid w:val="00784DA9"/>
    <w:rsid w:val="007858A6"/>
    <w:rsid w:val="00792404"/>
    <w:rsid w:val="007961AB"/>
    <w:rsid w:val="007A21D0"/>
    <w:rsid w:val="007A6705"/>
    <w:rsid w:val="007B1699"/>
    <w:rsid w:val="007B4EB6"/>
    <w:rsid w:val="007C427B"/>
    <w:rsid w:val="007D2F4F"/>
    <w:rsid w:val="007D3142"/>
    <w:rsid w:val="007D431F"/>
    <w:rsid w:val="007D54F5"/>
    <w:rsid w:val="007E06A0"/>
    <w:rsid w:val="007E1245"/>
    <w:rsid w:val="007E2B24"/>
    <w:rsid w:val="007E4EC5"/>
    <w:rsid w:val="007E53D0"/>
    <w:rsid w:val="007E5DE4"/>
    <w:rsid w:val="007E7331"/>
    <w:rsid w:val="007F1514"/>
    <w:rsid w:val="007F1946"/>
    <w:rsid w:val="007F20B5"/>
    <w:rsid w:val="007F2310"/>
    <w:rsid w:val="007F27F9"/>
    <w:rsid w:val="00806753"/>
    <w:rsid w:val="00807875"/>
    <w:rsid w:val="0081560A"/>
    <w:rsid w:val="00816624"/>
    <w:rsid w:val="00817E91"/>
    <w:rsid w:val="00821E57"/>
    <w:rsid w:val="008263CC"/>
    <w:rsid w:val="0082772A"/>
    <w:rsid w:val="008420B0"/>
    <w:rsid w:val="008464B3"/>
    <w:rsid w:val="0085589B"/>
    <w:rsid w:val="00857A7D"/>
    <w:rsid w:val="008648B0"/>
    <w:rsid w:val="00876F85"/>
    <w:rsid w:val="008802A9"/>
    <w:rsid w:val="00881F6B"/>
    <w:rsid w:val="00885A97"/>
    <w:rsid w:val="00890A5D"/>
    <w:rsid w:val="0089266F"/>
    <w:rsid w:val="00895F98"/>
    <w:rsid w:val="00896D84"/>
    <w:rsid w:val="00896D85"/>
    <w:rsid w:val="008A1505"/>
    <w:rsid w:val="008A25EE"/>
    <w:rsid w:val="008D3683"/>
    <w:rsid w:val="008D4863"/>
    <w:rsid w:val="008D7AD3"/>
    <w:rsid w:val="008E1688"/>
    <w:rsid w:val="008F6FB7"/>
    <w:rsid w:val="008F757C"/>
    <w:rsid w:val="00900652"/>
    <w:rsid w:val="00901C06"/>
    <w:rsid w:val="00907E5D"/>
    <w:rsid w:val="00912E33"/>
    <w:rsid w:val="00916581"/>
    <w:rsid w:val="009209B4"/>
    <w:rsid w:val="00927643"/>
    <w:rsid w:val="009360D0"/>
    <w:rsid w:val="00941952"/>
    <w:rsid w:val="00942C61"/>
    <w:rsid w:val="00946D50"/>
    <w:rsid w:val="009578BB"/>
    <w:rsid w:val="00970543"/>
    <w:rsid w:val="009741B1"/>
    <w:rsid w:val="00982D96"/>
    <w:rsid w:val="00983385"/>
    <w:rsid w:val="00983E19"/>
    <w:rsid w:val="009865A6"/>
    <w:rsid w:val="00991104"/>
    <w:rsid w:val="009925EF"/>
    <w:rsid w:val="00994BA8"/>
    <w:rsid w:val="00995261"/>
    <w:rsid w:val="00996E43"/>
    <w:rsid w:val="009A334A"/>
    <w:rsid w:val="009A5D8D"/>
    <w:rsid w:val="009B23B8"/>
    <w:rsid w:val="009B48D7"/>
    <w:rsid w:val="009B4B7B"/>
    <w:rsid w:val="009B62EF"/>
    <w:rsid w:val="009C1151"/>
    <w:rsid w:val="009C21B2"/>
    <w:rsid w:val="009C59AB"/>
    <w:rsid w:val="009D717F"/>
    <w:rsid w:val="009E27FB"/>
    <w:rsid w:val="009E3F68"/>
    <w:rsid w:val="00A00F63"/>
    <w:rsid w:val="00A01125"/>
    <w:rsid w:val="00A07AEB"/>
    <w:rsid w:val="00A233C0"/>
    <w:rsid w:val="00A2440B"/>
    <w:rsid w:val="00A266BF"/>
    <w:rsid w:val="00A4659F"/>
    <w:rsid w:val="00A54602"/>
    <w:rsid w:val="00A54F86"/>
    <w:rsid w:val="00A563F1"/>
    <w:rsid w:val="00A66F4F"/>
    <w:rsid w:val="00A70069"/>
    <w:rsid w:val="00A81434"/>
    <w:rsid w:val="00AA3329"/>
    <w:rsid w:val="00AB23E5"/>
    <w:rsid w:val="00AC2CC8"/>
    <w:rsid w:val="00AC56AF"/>
    <w:rsid w:val="00AD00D9"/>
    <w:rsid w:val="00AD4FAB"/>
    <w:rsid w:val="00AF57D7"/>
    <w:rsid w:val="00AF6168"/>
    <w:rsid w:val="00AF6CAB"/>
    <w:rsid w:val="00B023C7"/>
    <w:rsid w:val="00B0347A"/>
    <w:rsid w:val="00B0503C"/>
    <w:rsid w:val="00B053D4"/>
    <w:rsid w:val="00B13894"/>
    <w:rsid w:val="00B14FD5"/>
    <w:rsid w:val="00B15A92"/>
    <w:rsid w:val="00B15C9E"/>
    <w:rsid w:val="00B203F4"/>
    <w:rsid w:val="00B24EB7"/>
    <w:rsid w:val="00B30D91"/>
    <w:rsid w:val="00B31651"/>
    <w:rsid w:val="00B3173C"/>
    <w:rsid w:val="00B3690C"/>
    <w:rsid w:val="00B36A2F"/>
    <w:rsid w:val="00B40FB0"/>
    <w:rsid w:val="00B41385"/>
    <w:rsid w:val="00B42ABB"/>
    <w:rsid w:val="00B43FC1"/>
    <w:rsid w:val="00B451E9"/>
    <w:rsid w:val="00B500FC"/>
    <w:rsid w:val="00B62C37"/>
    <w:rsid w:val="00B673DC"/>
    <w:rsid w:val="00B770FE"/>
    <w:rsid w:val="00B7792E"/>
    <w:rsid w:val="00B80D2C"/>
    <w:rsid w:val="00B86A3D"/>
    <w:rsid w:val="00B91F93"/>
    <w:rsid w:val="00B9411E"/>
    <w:rsid w:val="00B94803"/>
    <w:rsid w:val="00B97642"/>
    <w:rsid w:val="00BA4932"/>
    <w:rsid w:val="00BB407C"/>
    <w:rsid w:val="00BB67EB"/>
    <w:rsid w:val="00BD550B"/>
    <w:rsid w:val="00BD67DE"/>
    <w:rsid w:val="00BE1AB1"/>
    <w:rsid w:val="00BE6120"/>
    <w:rsid w:val="00BE7524"/>
    <w:rsid w:val="00BF0529"/>
    <w:rsid w:val="00BF43FA"/>
    <w:rsid w:val="00BF58D0"/>
    <w:rsid w:val="00C00761"/>
    <w:rsid w:val="00C00B2E"/>
    <w:rsid w:val="00C02FCF"/>
    <w:rsid w:val="00C03ED6"/>
    <w:rsid w:val="00C05380"/>
    <w:rsid w:val="00C07B05"/>
    <w:rsid w:val="00C13097"/>
    <w:rsid w:val="00C162CD"/>
    <w:rsid w:val="00C251B4"/>
    <w:rsid w:val="00C25EE4"/>
    <w:rsid w:val="00C26CC3"/>
    <w:rsid w:val="00C27C6E"/>
    <w:rsid w:val="00C41029"/>
    <w:rsid w:val="00C446AF"/>
    <w:rsid w:val="00C46943"/>
    <w:rsid w:val="00C548FB"/>
    <w:rsid w:val="00C624F1"/>
    <w:rsid w:val="00C63C81"/>
    <w:rsid w:val="00C66441"/>
    <w:rsid w:val="00C6761E"/>
    <w:rsid w:val="00C72F01"/>
    <w:rsid w:val="00C7662F"/>
    <w:rsid w:val="00C76FBB"/>
    <w:rsid w:val="00C800F2"/>
    <w:rsid w:val="00C80531"/>
    <w:rsid w:val="00C813DD"/>
    <w:rsid w:val="00C817AB"/>
    <w:rsid w:val="00C81F09"/>
    <w:rsid w:val="00C85917"/>
    <w:rsid w:val="00C86916"/>
    <w:rsid w:val="00C91916"/>
    <w:rsid w:val="00C9255B"/>
    <w:rsid w:val="00C97136"/>
    <w:rsid w:val="00CB290D"/>
    <w:rsid w:val="00CB5323"/>
    <w:rsid w:val="00CB5D7E"/>
    <w:rsid w:val="00CC3018"/>
    <w:rsid w:val="00CC6347"/>
    <w:rsid w:val="00CD0574"/>
    <w:rsid w:val="00CD1172"/>
    <w:rsid w:val="00CD24E6"/>
    <w:rsid w:val="00CD42C9"/>
    <w:rsid w:val="00CD782B"/>
    <w:rsid w:val="00CE262C"/>
    <w:rsid w:val="00CF1243"/>
    <w:rsid w:val="00D00787"/>
    <w:rsid w:val="00D023F4"/>
    <w:rsid w:val="00D04FE6"/>
    <w:rsid w:val="00D11C39"/>
    <w:rsid w:val="00D23945"/>
    <w:rsid w:val="00D30BBD"/>
    <w:rsid w:val="00D30D81"/>
    <w:rsid w:val="00D3799D"/>
    <w:rsid w:val="00D40A7E"/>
    <w:rsid w:val="00D40B3C"/>
    <w:rsid w:val="00D478B2"/>
    <w:rsid w:val="00D60B51"/>
    <w:rsid w:val="00D63FA2"/>
    <w:rsid w:val="00D65A76"/>
    <w:rsid w:val="00D7215A"/>
    <w:rsid w:val="00D7229F"/>
    <w:rsid w:val="00D735C6"/>
    <w:rsid w:val="00D76018"/>
    <w:rsid w:val="00D84249"/>
    <w:rsid w:val="00D85E19"/>
    <w:rsid w:val="00D92A77"/>
    <w:rsid w:val="00DA2720"/>
    <w:rsid w:val="00DB29C1"/>
    <w:rsid w:val="00DB40BA"/>
    <w:rsid w:val="00DC281D"/>
    <w:rsid w:val="00DD138F"/>
    <w:rsid w:val="00DD28CA"/>
    <w:rsid w:val="00DD404C"/>
    <w:rsid w:val="00DE0FD1"/>
    <w:rsid w:val="00DE2136"/>
    <w:rsid w:val="00DE4F90"/>
    <w:rsid w:val="00DF083C"/>
    <w:rsid w:val="00E02823"/>
    <w:rsid w:val="00E13739"/>
    <w:rsid w:val="00E147D7"/>
    <w:rsid w:val="00E16916"/>
    <w:rsid w:val="00E1738B"/>
    <w:rsid w:val="00E21339"/>
    <w:rsid w:val="00E30406"/>
    <w:rsid w:val="00E32087"/>
    <w:rsid w:val="00E34B62"/>
    <w:rsid w:val="00E45714"/>
    <w:rsid w:val="00E4770E"/>
    <w:rsid w:val="00E52A42"/>
    <w:rsid w:val="00E54C87"/>
    <w:rsid w:val="00E54ECA"/>
    <w:rsid w:val="00E57521"/>
    <w:rsid w:val="00E60C33"/>
    <w:rsid w:val="00E60FAD"/>
    <w:rsid w:val="00E66D8C"/>
    <w:rsid w:val="00E71BCE"/>
    <w:rsid w:val="00E76E26"/>
    <w:rsid w:val="00E77BB9"/>
    <w:rsid w:val="00E80B6B"/>
    <w:rsid w:val="00E87209"/>
    <w:rsid w:val="00E9186B"/>
    <w:rsid w:val="00EA163E"/>
    <w:rsid w:val="00EB704E"/>
    <w:rsid w:val="00EC07D9"/>
    <w:rsid w:val="00EC6CAD"/>
    <w:rsid w:val="00ED0750"/>
    <w:rsid w:val="00ED1241"/>
    <w:rsid w:val="00EE3699"/>
    <w:rsid w:val="00EE5B8A"/>
    <w:rsid w:val="00EF2BF1"/>
    <w:rsid w:val="00EF5CA5"/>
    <w:rsid w:val="00EF65E1"/>
    <w:rsid w:val="00EF7F3A"/>
    <w:rsid w:val="00F03078"/>
    <w:rsid w:val="00F04D44"/>
    <w:rsid w:val="00F074B5"/>
    <w:rsid w:val="00F123E9"/>
    <w:rsid w:val="00F16BD1"/>
    <w:rsid w:val="00F2170D"/>
    <w:rsid w:val="00F2599E"/>
    <w:rsid w:val="00F31344"/>
    <w:rsid w:val="00F35C8F"/>
    <w:rsid w:val="00F476EC"/>
    <w:rsid w:val="00F55819"/>
    <w:rsid w:val="00F60512"/>
    <w:rsid w:val="00F60E5E"/>
    <w:rsid w:val="00F61F47"/>
    <w:rsid w:val="00F64EFD"/>
    <w:rsid w:val="00F65ADF"/>
    <w:rsid w:val="00F761A4"/>
    <w:rsid w:val="00F832AD"/>
    <w:rsid w:val="00F83B09"/>
    <w:rsid w:val="00F85A4C"/>
    <w:rsid w:val="00F87955"/>
    <w:rsid w:val="00F913D9"/>
    <w:rsid w:val="00F950E3"/>
    <w:rsid w:val="00F95FDC"/>
    <w:rsid w:val="00FA142D"/>
    <w:rsid w:val="00FB5FDB"/>
    <w:rsid w:val="00FB7E93"/>
    <w:rsid w:val="00FC6C4E"/>
    <w:rsid w:val="00FD07F1"/>
    <w:rsid w:val="00FD5133"/>
    <w:rsid w:val="00FD6989"/>
    <w:rsid w:val="00FD6D76"/>
    <w:rsid w:val="00FE0107"/>
    <w:rsid w:val="00FE23BF"/>
    <w:rsid w:val="00FF2694"/>
    <w:rsid w:val="00FF2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CC7199-4620-45D9-9858-B2BBD9D4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5A1E"/>
    <w:rPr>
      <w:rFonts w:ascii="Times New Roman" w:hAnsi="Times New Roman"/>
    </w:rPr>
  </w:style>
  <w:style w:type="paragraph" w:styleId="berschrift1">
    <w:name w:val="heading 1"/>
    <w:basedOn w:val="Standard"/>
    <w:link w:val="berschrift1Zchn"/>
    <w:uiPriority w:val="9"/>
    <w:qFormat/>
    <w:rsid w:val="00523B4D"/>
    <w:pPr>
      <w:spacing w:before="100" w:beforeAutospacing="1" w:after="100" w:afterAutospacing="1" w:line="240" w:lineRule="auto"/>
      <w:outlineLvl w:val="0"/>
    </w:pPr>
    <w:rPr>
      <w:rFonts w:eastAsia="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F313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5A1E"/>
    <w:pPr>
      <w:spacing w:after="0" w:line="240" w:lineRule="auto"/>
    </w:pPr>
    <w:rPr>
      <w:rFonts w:ascii="Times New Roman" w:hAnsi="Times New Roman"/>
    </w:rPr>
  </w:style>
  <w:style w:type="paragraph" w:customStyle="1" w:styleId="Normaltext">
    <w:name w:val="Normaltext"/>
    <w:basedOn w:val="Standard"/>
    <w:rsid w:val="00421B19"/>
    <w:pPr>
      <w:spacing w:after="0" w:line="360" w:lineRule="exact"/>
    </w:pPr>
    <w:rPr>
      <w:rFonts w:eastAsia="Times New Roman" w:cs="Times New Roman"/>
      <w:sz w:val="24"/>
      <w:szCs w:val="20"/>
      <w:lang w:eastAsia="de-DE"/>
    </w:rPr>
  </w:style>
  <w:style w:type="character" w:customStyle="1" w:styleId="berschrift1Zchn">
    <w:name w:val="Überschrift 1 Zchn"/>
    <w:basedOn w:val="Absatz-Standardschriftart"/>
    <w:link w:val="berschrift1"/>
    <w:uiPriority w:val="9"/>
    <w:rsid w:val="00523B4D"/>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523B4D"/>
    <w:pPr>
      <w:spacing w:before="100" w:beforeAutospacing="1" w:after="100" w:afterAutospacing="1" w:line="240" w:lineRule="auto"/>
    </w:pPr>
    <w:rPr>
      <w:rFonts w:eastAsia="Times New Roman" w:cs="Times New Roman"/>
      <w:sz w:val="24"/>
      <w:szCs w:val="24"/>
      <w:lang w:eastAsia="de-DE"/>
    </w:rPr>
  </w:style>
  <w:style w:type="character" w:styleId="Hyperlink">
    <w:name w:val="Hyperlink"/>
    <w:basedOn w:val="Absatz-Standardschriftart"/>
    <w:uiPriority w:val="99"/>
    <w:semiHidden/>
    <w:unhideWhenUsed/>
    <w:rsid w:val="00523B4D"/>
    <w:rPr>
      <w:color w:val="0000FF"/>
      <w:u w:val="single"/>
    </w:rPr>
  </w:style>
  <w:style w:type="character" w:customStyle="1" w:styleId="berschrift2Zchn">
    <w:name w:val="Überschrift 2 Zchn"/>
    <w:basedOn w:val="Absatz-Standardschriftart"/>
    <w:link w:val="berschrift2"/>
    <w:uiPriority w:val="9"/>
    <w:rsid w:val="00F31344"/>
    <w:rPr>
      <w:rFonts w:asciiTheme="majorHAnsi" w:eastAsiaTheme="majorEastAsia" w:hAnsiTheme="majorHAnsi" w:cstheme="majorBidi"/>
      <w:b/>
      <w:bCs/>
      <w:color w:val="4F81BD" w:themeColor="accent1"/>
      <w:sz w:val="26"/>
      <w:szCs w:val="26"/>
    </w:rPr>
  </w:style>
  <w:style w:type="character" w:customStyle="1" w:styleId="zit">
    <w:name w:val="zit"/>
    <w:basedOn w:val="Absatz-Standardschriftart"/>
    <w:rsid w:val="00F31344"/>
  </w:style>
  <w:style w:type="paragraph" w:styleId="Sprechblasentext">
    <w:name w:val="Balloon Text"/>
    <w:basedOn w:val="Standard"/>
    <w:link w:val="SprechblasentextZchn"/>
    <w:uiPriority w:val="99"/>
    <w:semiHidden/>
    <w:unhideWhenUsed/>
    <w:rsid w:val="001E53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5344"/>
    <w:rPr>
      <w:rFonts w:ascii="Segoe UI" w:hAnsi="Segoe UI" w:cs="Segoe UI"/>
      <w:sz w:val="18"/>
      <w:szCs w:val="18"/>
    </w:rPr>
  </w:style>
  <w:style w:type="paragraph" w:styleId="Listenabsatz">
    <w:name w:val="List Paragraph"/>
    <w:basedOn w:val="Standard"/>
    <w:uiPriority w:val="34"/>
    <w:qFormat/>
    <w:rsid w:val="00D11C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111802">
      <w:bodyDiv w:val="1"/>
      <w:marLeft w:val="0"/>
      <w:marRight w:val="0"/>
      <w:marTop w:val="0"/>
      <w:marBottom w:val="0"/>
      <w:divBdr>
        <w:top w:val="none" w:sz="0" w:space="0" w:color="auto"/>
        <w:left w:val="none" w:sz="0" w:space="0" w:color="auto"/>
        <w:bottom w:val="none" w:sz="0" w:space="0" w:color="auto"/>
        <w:right w:val="none" w:sz="0" w:space="0" w:color="auto"/>
      </w:divBdr>
    </w:div>
    <w:div w:id="611523336">
      <w:bodyDiv w:val="1"/>
      <w:marLeft w:val="0"/>
      <w:marRight w:val="0"/>
      <w:marTop w:val="0"/>
      <w:marBottom w:val="0"/>
      <w:divBdr>
        <w:top w:val="none" w:sz="0" w:space="0" w:color="auto"/>
        <w:left w:val="none" w:sz="0" w:space="0" w:color="auto"/>
        <w:bottom w:val="none" w:sz="0" w:space="0" w:color="auto"/>
        <w:right w:val="none" w:sz="0" w:space="0" w:color="auto"/>
      </w:divBdr>
      <w:divsChild>
        <w:div w:id="1025325331">
          <w:marLeft w:val="0"/>
          <w:marRight w:val="0"/>
          <w:marTop w:val="0"/>
          <w:marBottom w:val="0"/>
          <w:divBdr>
            <w:top w:val="none" w:sz="0" w:space="0" w:color="auto"/>
            <w:left w:val="none" w:sz="0" w:space="0" w:color="auto"/>
            <w:bottom w:val="none" w:sz="0" w:space="0" w:color="auto"/>
            <w:right w:val="none" w:sz="0" w:space="0" w:color="auto"/>
          </w:divBdr>
          <w:divsChild>
            <w:div w:id="571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429">
      <w:bodyDiv w:val="1"/>
      <w:marLeft w:val="0"/>
      <w:marRight w:val="0"/>
      <w:marTop w:val="0"/>
      <w:marBottom w:val="0"/>
      <w:divBdr>
        <w:top w:val="none" w:sz="0" w:space="0" w:color="auto"/>
        <w:left w:val="none" w:sz="0" w:space="0" w:color="auto"/>
        <w:bottom w:val="none" w:sz="0" w:space="0" w:color="auto"/>
        <w:right w:val="none" w:sz="0" w:space="0" w:color="auto"/>
      </w:divBdr>
      <w:divsChild>
        <w:div w:id="1864515082">
          <w:marLeft w:val="0"/>
          <w:marRight w:val="0"/>
          <w:marTop w:val="0"/>
          <w:marBottom w:val="0"/>
          <w:divBdr>
            <w:top w:val="none" w:sz="0" w:space="0" w:color="auto"/>
            <w:left w:val="none" w:sz="0" w:space="0" w:color="auto"/>
            <w:bottom w:val="none" w:sz="0" w:space="0" w:color="auto"/>
            <w:right w:val="none" w:sz="0" w:space="0" w:color="auto"/>
          </w:divBdr>
          <w:divsChild>
            <w:div w:id="968128739">
              <w:marLeft w:val="0"/>
              <w:marRight w:val="0"/>
              <w:marTop w:val="0"/>
              <w:marBottom w:val="0"/>
              <w:divBdr>
                <w:top w:val="none" w:sz="0" w:space="0" w:color="auto"/>
                <w:left w:val="none" w:sz="0" w:space="0" w:color="auto"/>
                <w:bottom w:val="none" w:sz="0" w:space="0" w:color="auto"/>
                <w:right w:val="none" w:sz="0" w:space="0" w:color="auto"/>
              </w:divBdr>
              <w:divsChild>
                <w:div w:id="841621878">
                  <w:marLeft w:val="0"/>
                  <w:marRight w:val="0"/>
                  <w:marTop w:val="0"/>
                  <w:marBottom w:val="0"/>
                  <w:divBdr>
                    <w:top w:val="none" w:sz="0" w:space="0" w:color="auto"/>
                    <w:left w:val="none" w:sz="0" w:space="0" w:color="auto"/>
                    <w:bottom w:val="none" w:sz="0" w:space="0" w:color="auto"/>
                    <w:right w:val="none" w:sz="0" w:space="0" w:color="auto"/>
                  </w:divBdr>
                </w:div>
              </w:divsChild>
            </w:div>
            <w:div w:id="1266233790">
              <w:marLeft w:val="0"/>
              <w:marRight w:val="0"/>
              <w:marTop w:val="0"/>
              <w:marBottom w:val="0"/>
              <w:divBdr>
                <w:top w:val="none" w:sz="0" w:space="0" w:color="auto"/>
                <w:left w:val="none" w:sz="0" w:space="0" w:color="auto"/>
                <w:bottom w:val="none" w:sz="0" w:space="0" w:color="auto"/>
                <w:right w:val="none" w:sz="0" w:space="0" w:color="auto"/>
              </w:divBdr>
            </w:div>
            <w:div w:id="15227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8418">
      <w:bodyDiv w:val="1"/>
      <w:marLeft w:val="0"/>
      <w:marRight w:val="0"/>
      <w:marTop w:val="0"/>
      <w:marBottom w:val="0"/>
      <w:divBdr>
        <w:top w:val="none" w:sz="0" w:space="0" w:color="auto"/>
        <w:left w:val="none" w:sz="0" w:space="0" w:color="auto"/>
        <w:bottom w:val="none" w:sz="0" w:space="0" w:color="auto"/>
        <w:right w:val="none" w:sz="0" w:space="0" w:color="auto"/>
      </w:divBdr>
    </w:div>
    <w:div w:id="934627728">
      <w:bodyDiv w:val="1"/>
      <w:marLeft w:val="0"/>
      <w:marRight w:val="0"/>
      <w:marTop w:val="0"/>
      <w:marBottom w:val="0"/>
      <w:divBdr>
        <w:top w:val="none" w:sz="0" w:space="0" w:color="auto"/>
        <w:left w:val="none" w:sz="0" w:space="0" w:color="auto"/>
        <w:bottom w:val="none" w:sz="0" w:space="0" w:color="auto"/>
        <w:right w:val="none" w:sz="0" w:space="0" w:color="auto"/>
      </w:divBdr>
      <w:divsChild>
        <w:div w:id="141850548">
          <w:marLeft w:val="0"/>
          <w:marRight w:val="0"/>
          <w:marTop w:val="0"/>
          <w:marBottom w:val="0"/>
          <w:divBdr>
            <w:top w:val="none" w:sz="0" w:space="0" w:color="auto"/>
            <w:left w:val="none" w:sz="0" w:space="0" w:color="auto"/>
            <w:bottom w:val="none" w:sz="0" w:space="0" w:color="auto"/>
            <w:right w:val="none" w:sz="0" w:space="0" w:color="auto"/>
          </w:divBdr>
        </w:div>
        <w:div w:id="1855001222">
          <w:marLeft w:val="0"/>
          <w:marRight w:val="0"/>
          <w:marTop w:val="0"/>
          <w:marBottom w:val="0"/>
          <w:divBdr>
            <w:top w:val="none" w:sz="0" w:space="0" w:color="auto"/>
            <w:left w:val="none" w:sz="0" w:space="0" w:color="auto"/>
            <w:bottom w:val="none" w:sz="0" w:space="0" w:color="auto"/>
            <w:right w:val="none" w:sz="0" w:space="0" w:color="auto"/>
          </w:divBdr>
        </w:div>
      </w:divsChild>
    </w:div>
    <w:div w:id="1075129909">
      <w:bodyDiv w:val="1"/>
      <w:marLeft w:val="0"/>
      <w:marRight w:val="0"/>
      <w:marTop w:val="0"/>
      <w:marBottom w:val="0"/>
      <w:divBdr>
        <w:top w:val="none" w:sz="0" w:space="0" w:color="auto"/>
        <w:left w:val="none" w:sz="0" w:space="0" w:color="auto"/>
        <w:bottom w:val="none" w:sz="0" w:space="0" w:color="auto"/>
        <w:right w:val="none" w:sz="0" w:space="0" w:color="auto"/>
      </w:divBdr>
    </w:div>
    <w:div w:id="1349211757">
      <w:bodyDiv w:val="1"/>
      <w:marLeft w:val="0"/>
      <w:marRight w:val="0"/>
      <w:marTop w:val="0"/>
      <w:marBottom w:val="0"/>
      <w:divBdr>
        <w:top w:val="none" w:sz="0" w:space="0" w:color="auto"/>
        <w:left w:val="none" w:sz="0" w:space="0" w:color="auto"/>
        <w:bottom w:val="none" w:sz="0" w:space="0" w:color="auto"/>
        <w:right w:val="none" w:sz="0" w:space="0" w:color="auto"/>
      </w:divBdr>
    </w:div>
    <w:div w:id="1495955721">
      <w:bodyDiv w:val="1"/>
      <w:marLeft w:val="0"/>
      <w:marRight w:val="0"/>
      <w:marTop w:val="0"/>
      <w:marBottom w:val="0"/>
      <w:divBdr>
        <w:top w:val="none" w:sz="0" w:space="0" w:color="auto"/>
        <w:left w:val="none" w:sz="0" w:space="0" w:color="auto"/>
        <w:bottom w:val="none" w:sz="0" w:space="0" w:color="auto"/>
        <w:right w:val="none" w:sz="0" w:space="0" w:color="auto"/>
      </w:divBdr>
    </w:div>
    <w:div w:id="1569270416">
      <w:bodyDiv w:val="1"/>
      <w:marLeft w:val="0"/>
      <w:marRight w:val="0"/>
      <w:marTop w:val="0"/>
      <w:marBottom w:val="0"/>
      <w:divBdr>
        <w:top w:val="none" w:sz="0" w:space="0" w:color="auto"/>
        <w:left w:val="none" w:sz="0" w:space="0" w:color="auto"/>
        <w:bottom w:val="none" w:sz="0" w:space="0" w:color="auto"/>
        <w:right w:val="none" w:sz="0" w:space="0" w:color="auto"/>
      </w:divBdr>
    </w:div>
    <w:div w:id="1595091527">
      <w:bodyDiv w:val="1"/>
      <w:marLeft w:val="0"/>
      <w:marRight w:val="0"/>
      <w:marTop w:val="0"/>
      <w:marBottom w:val="0"/>
      <w:divBdr>
        <w:top w:val="none" w:sz="0" w:space="0" w:color="auto"/>
        <w:left w:val="none" w:sz="0" w:space="0" w:color="auto"/>
        <w:bottom w:val="none" w:sz="0" w:space="0" w:color="auto"/>
        <w:right w:val="none" w:sz="0" w:space="0" w:color="auto"/>
      </w:divBdr>
    </w:div>
    <w:div w:id="190383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6fdd4e6d-b0eb-4c79-9c69-ac898cff46b0</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4197D-5733-44CF-8E0F-150AA92CDBC5}">
  <ds:schemaRefs>
    <ds:schemaRef ds:uri="http://www.datev.de/BSOffice/999929"/>
  </ds:schemaRefs>
</ds:datastoreItem>
</file>

<file path=customXml/itemProps2.xml><?xml version="1.0" encoding="utf-8"?>
<ds:datastoreItem xmlns:ds="http://schemas.openxmlformats.org/officeDocument/2006/customXml" ds:itemID="{859D6A90-9455-48FF-8DF0-9B9A35117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2108</Words>
  <Characters>13284</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Kanzlei Luithlen</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Schmidt-Eberth</dc:creator>
  <cp:lastModifiedBy>Jens Becker-Platen</cp:lastModifiedBy>
  <cp:revision>9</cp:revision>
  <cp:lastPrinted>2019-01-17T09:30:00Z</cp:lastPrinted>
  <dcterms:created xsi:type="dcterms:W3CDTF">2020-09-02T06:54:00Z</dcterms:created>
  <dcterms:modified xsi:type="dcterms:W3CDTF">2020-09-24T15:31:00Z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000424-2013/001:00</vt:lpwstr>
  </property>
  <property fmtid="{D5CDD505-2E9C-101B-9397-08002B2CF9AE}" pid="3" name="DATEV-DMS_MANDANT_BEZ">
    <vt:lpwstr>Urteile und Entscheidungen              E-Akte</vt:lpwstr>
  </property>
  <property fmtid="{D5CDD505-2E9C-101B-9397-08002B2CF9AE}" pid="4" name="DATEV-DMS_DOKU_NR">
    <vt:lpwstr>532598</vt:lpwstr>
  </property>
  <property fmtid="{D5CDD505-2E9C-101B-9397-08002B2CF9AE}" pid="5" name="DATEV-DMS_BETREFF">
    <vt:lpwstr>Mandantenrundbrief Oktober 2020</vt:lpwstr>
  </property>
</Properties>
</file>