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5A0" w:rsidRDefault="001745A0" w:rsidP="00F16BD1">
      <w:pPr>
        <w:pStyle w:val="KeinLeerraum"/>
        <w:jc w:val="both"/>
      </w:pPr>
      <w:r w:rsidRPr="00421B19">
        <w:rPr>
          <w:noProof/>
          <w:lang w:eastAsia="de-DE"/>
        </w:rPr>
        <mc:AlternateContent>
          <mc:Choice Requires="wps">
            <w:drawing>
              <wp:anchor distT="0" distB="0" distL="114300" distR="114300" simplePos="0" relativeHeight="251659264" behindDoc="0" locked="0" layoutInCell="1" allowOverlap="1" wp14:anchorId="3159C8FE" wp14:editId="5C80751D">
                <wp:simplePos x="0" y="0"/>
                <wp:positionH relativeFrom="column">
                  <wp:posOffset>-57150</wp:posOffset>
                </wp:positionH>
                <wp:positionV relativeFrom="paragraph">
                  <wp:posOffset>-135255</wp:posOffset>
                </wp:positionV>
                <wp:extent cx="2604770" cy="752475"/>
                <wp:effectExtent l="0" t="0" r="24130" b="2857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52475"/>
                        </a:xfrm>
                        <a:prstGeom prst="rect">
                          <a:avLst/>
                        </a:prstGeom>
                        <a:solidFill>
                          <a:srgbClr val="FFFFFF"/>
                        </a:solidFill>
                        <a:ln w="9525">
                          <a:solidFill>
                            <a:srgbClr val="000000"/>
                          </a:solidFill>
                          <a:miter lim="800000"/>
                          <a:headEnd/>
                          <a:tailEnd/>
                        </a:ln>
                      </wps:spPr>
                      <wps:txb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6230F9">
                              <w:rPr>
                                <w:b/>
                                <w:sz w:val="28"/>
                              </w:rPr>
                              <w:t>September</w:t>
                            </w:r>
                            <w:r w:rsidR="00DE2136">
                              <w:rPr>
                                <w:b/>
                                <w:sz w:val="2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9C8FE" id="_x0000_t202" coordsize="21600,21600" o:spt="202" path="m,l,21600r21600,l21600,xe">
                <v:stroke joinstyle="miter"/>
                <v:path gradientshapeok="t" o:connecttype="rect"/>
              </v:shapetype>
              <v:shape id="Textfeld 2" o:spid="_x0000_s1026" type="#_x0000_t202" style="position:absolute;left:0;text-align:left;margin-left:-4.5pt;margin-top:-10.65pt;width:205.1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">
                <v:textbox>
                  <w:txbxContent>
                    <w:p w:rsidR="00BE7524" w:rsidRDefault="00BE7524" w:rsidP="00BE7524">
                      <w:pPr>
                        <w:spacing w:after="0" w:line="240" w:lineRule="auto"/>
                        <w:jc w:val="center"/>
                        <w:rPr>
                          <w:b/>
                          <w:sz w:val="28"/>
                        </w:rPr>
                      </w:pPr>
                      <w:r w:rsidRPr="005650BE">
                        <w:rPr>
                          <w:b/>
                          <w:sz w:val="28"/>
                        </w:rPr>
                        <w:t>Mandanteninformationen</w:t>
                      </w:r>
                    </w:p>
                    <w:p w:rsidR="006D5A1E" w:rsidRPr="005650BE" w:rsidRDefault="00BE7524" w:rsidP="006D5A1E">
                      <w:pPr>
                        <w:spacing w:after="0" w:line="240" w:lineRule="auto"/>
                        <w:jc w:val="center"/>
                        <w:rPr>
                          <w:b/>
                          <w:sz w:val="28"/>
                        </w:rPr>
                      </w:pPr>
                      <w:r>
                        <w:rPr>
                          <w:b/>
                          <w:sz w:val="28"/>
                        </w:rPr>
                        <w:t>Miet- u</w:t>
                      </w:r>
                      <w:r w:rsidR="003E59C5">
                        <w:rPr>
                          <w:b/>
                          <w:sz w:val="28"/>
                        </w:rPr>
                        <w:t xml:space="preserve">nd Wohnungseigen-tumsrecht </w:t>
                      </w:r>
                      <w:r w:rsidR="006230F9">
                        <w:rPr>
                          <w:b/>
                          <w:sz w:val="28"/>
                        </w:rPr>
                        <w:t>September</w:t>
                      </w:r>
                      <w:r w:rsidR="00DE2136">
                        <w:rPr>
                          <w:b/>
                          <w:sz w:val="28"/>
                        </w:rPr>
                        <w:t xml:space="preserve"> 2020</w:t>
                      </w:r>
                    </w:p>
                  </w:txbxContent>
                </v:textbox>
              </v:shape>
            </w:pict>
          </mc:Fallback>
        </mc:AlternateContent>
      </w:r>
    </w:p>
    <w:p w:rsidR="001745A0" w:rsidRDefault="001745A0" w:rsidP="00F16BD1">
      <w:pPr>
        <w:pStyle w:val="KeinLeerraum"/>
        <w:jc w:val="both"/>
      </w:pPr>
    </w:p>
    <w:p w:rsidR="001745A0" w:rsidRDefault="001745A0" w:rsidP="00F16BD1">
      <w:pPr>
        <w:pStyle w:val="KeinLeerraum"/>
        <w:jc w:val="both"/>
      </w:pPr>
    </w:p>
    <w:p w:rsidR="001745A0" w:rsidRDefault="001745A0" w:rsidP="00F16BD1">
      <w:pPr>
        <w:pStyle w:val="KeinLeerraum"/>
        <w:jc w:val="both"/>
      </w:pPr>
    </w:p>
    <w:p w:rsidR="00CD1172" w:rsidRDefault="00CD1172" w:rsidP="00F16BD1">
      <w:pPr>
        <w:pStyle w:val="KeinLeerraum"/>
        <w:jc w:val="both"/>
        <w:rPr>
          <w:rStyle w:val="zit"/>
        </w:rPr>
      </w:pPr>
    </w:p>
    <w:p w:rsidR="006230F9" w:rsidRDefault="006230F9" w:rsidP="006230F9">
      <w:pPr>
        <w:pStyle w:val="KeinLeerraum"/>
        <w:jc w:val="both"/>
        <w:rPr>
          <w:rFonts w:cs="Times New Roman"/>
        </w:rPr>
      </w:pPr>
      <w:r w:rsidRPr="00564EBC">
        <w:rPr>
          <w:rFonts w:cs="Times New Roman"/>
        </w:rPr>
        <w:t xml:space="preserve">Mit Urteil vom 13.12.2019 hat der </w:t>
      </w:r>
      <w:r w:rsidRPr="00564EBC">
        <w:rPr>
          <w:rFonts w:cs="Times New Roman"/>
          <w:b/>
        </w:rPr>
        <w:t>BGH</w:t>
      </w:r>
      <w:r w:rsidRPr="00564EBC">
        <w:rPr>
          <w:rFonts w:cs="Times New Roman"/>
        </w:rPr>
        <w:t xml:space="preserve"> entschieden, dass die Erfüllung der auf das Gemeinschaftseigentum bezogenen Verkehrssicherungspflichten zu einer ordnungsgemäßen Verwaltung gehört. Für diese ist der Verband im Innenverhältnis zu den Wohnungseigentümern ni</w:t>
      </w:r>
      <w:r>
        <w:rPr>
          <w:rFonts w:cs="Times New Roman"/>
        </w:rPr>
        <w:t>cht zuständig. Deshalb ist ein D</w:t>
      </w:r>
      <w:r w:rsidRPr="00564EBC">
        <w:rPr>
          <w:rFonts w:cs="Times New Roman"/>
        </w:rPr>
        <w:t>ritter, auf den Verkehrssicherungspflichten übertragen werden, im Verhältnis zu den einzelnen Wohnungseigentümern nicht Erfüllungsgeh</w:t>
      </w:r>
      <w:r>
        <w:rPr>
          <w:rFonts w:cs="Times New Roman"/>
        </w:rPr>
        <w:t>ilfe des Verbandes. Verletzt der D</w:t>
      </w:r>
      <w:r w:rsidRPr="00564EBC">
        <w:rPr>
          <w:rFonts w:cs="Times New Roman"/>
        </w:rPr>
        <w:t>ritte schuldhaft die Verkehrssicherungspflicht, begründet dies keine Schadensersatzansprüche einzelner Wohnungseigentümer gemäß § 280 Abs. 1 BGB gegen den Verband</w:t>
      </w:r>
      <w:r>
        <w:rPr>
          <w:rFonts w:cs="Times New Roman"/>
        </w:rPr>
        <w:t xml:space="preserve">. </w:t>
      </w:r>
      <w:r w:rsidRPr="00564EBC">
        <w:rPr>
          <w:rFonts w:cs="Times New Roman"/>
        </w:rPr>
        <w:t>Das</w:t>
      </w:r>
      <w:r>
        <w:rPr>
          <w:rFonts w:cs="Times New Roman"/>
        </w:rPr>
        <w:t>s</w:t>
      </w:r>
      <w:r w:rsidRPr="00564EBC">
        <w:rPr>
          <w:rFonts w:cs="Times New Roman"/>
        </w:rPr>
        <w:t xml:space="preserve"> hiernach der Verband für Schäden des Wohnungseigentümers, die auf einer schuldhaften Verletzung der Verkehrssich</w:t>
      </w:r>
      <w:r>
        <w:rPr>
          <w:rFonts w:cs="Times New Roman"/>
        </w:rPr>
        <w:t>erungspflicht des beauftragten D</w:t>
      </w:r>
      <w:r w:rsidRPr="00564EBC">
        <w:rPr>
          <w:rFonts w:cs="Times New Roman"/>
        </w:rPr>
        <w:t>ritten beruhen, nicht haftet, belastet den Wohnungseigentümern nicht unangemessen. Da</w:t>
      </w:r>
      <w:r>
        <w:rPr>
          <w:rFonts w:cs="Times New Roman"/>
        </w:rPr>
        <w:t xml:space="preserve"> dem von dem Verband mit einen D</w:t>
      </w:r>
      <w:r w:rsidRPr="00564EBC">
        <w:rPr>
          <w:rFonts w:cs="Times New Roman"/>
        </w:rPr>
        <w:t>ritten abgeschlossener Vertrag Schutzwirkung zugunsten der Wohnungseigen</w:t>
      </w:r>
      <w:r>
        <w:rPr>
          <w:rFonts w:cs="Times New Roman"/>
        </w:rPr>
        <w:t>tümer zukommt, kann dieser den D</w:t>
      </w:r>
      <w:r w:rsidRPr="00564EBC">
        <w:rPr>
          <w:rFonts w:cs="Times New Roman"/>
        </w:rPr>
        <w:t>ritten auf Schadensersatz in Anspruch nehmen.</w:t>
      </w:r>
    </w:p>
    <w:p w:rsidR="006230F9" w:rsidRDefault="006230F9" w:rsidP="006230F9">
      <w:pPr>
        <w:pStyle w:val="KeinLeerraum"/>
        <w:jc w:val="both"/>
        <w:rPr>
          <w:rFonts w:cs="Times New Roman"/>
        </w:rPr>
      </w:pPr>
    </w:p>
    <w:p w:rsidR="006230F9" w:rsidRDefault="006230F9" w:rsidP="006230F9">
      <w:pPr>
        <w:pStyle w:val="KeinLeerraum"/>
        <w:jc w:val="both"/>
        <w:rPr>
          <w:rFonts w:cs="Times New Roman"/>
        </w:rPr>
      </w:pPr>
      <w:r w:rsidRPr="000C2A5A">
        <w:rPr>
          <w:rFonts w:cs="Times New Roman"/>
        </w:rPr>
        <w:t xml:space="preserve">Das </w:t>
      </w:r>
      <w:r w:rsidRPr="000C2A5A">
        <w:rPr>
          <w:rFonts w:cs="Times New Roman"/>
          <w:b/>
        </w:rPr>
        <w:t>Amtsgericht München</w:t>
      </w:r>
      <w:r w:rsidRPr="000C2A5A">
        <w:rPr>
          <w:rFonts w:cs="Times New Roman"/>
        </w:rPr>
        <w:t xml:space="preserve"> hat mit Beschluss vom 27.05.2020 entschieden, dass bei </w:t>
      </w:r>
      <w:r>
        <w:rPr>
          <w:rFonts w:cs="Times New Roman"/>
        </w:rPr>
        <w:t>airbnb V</w:t>
      </w:r>
      <w:r w:rsidRPr="000C2A5A">
        <w:rPr>
          <w:rFonts w:cs="Times New Roman"/>
        </w:rPr>
        <w:t>ermietungen eine fristlose Kündigung ohne vorherige Abmahnung möglich ist, da hier</w:t>
      </w:r>
      <w:r>
        <w:rPr>
          <w:rFonts w:cs="Times New Roman"/>
        </w:rPr>
        <w:t>durch</w:t>
      </w:r>
      <w:r w:rsidRPr="000C2A5A">
        <w:rPr>
          <w:rFonts w:cs="Times New Roman"/>
        </w:rPr>
        <w:t xml:space="preserve"> auch gegen das Verbot der Zweckentfremdung von Wohnraum verstoßen wird, was den Vertragsverstoß als besonders schwerwiegend erscheinen lässt. Das Urteil ist noch nicht rechtskräftig.</w:t>
      </w:r>
    </w:p>
    <w:p w:rsidR="006230F9" w:rsidRDefault="006230F9" w:rsidP="006230F9">
      <w:pPr>
        <w:pStyle w:val="KeinLeerraum"/>
        <w:jc w:val="both"/>
        <w:rPr>
          <w:rFonts w:cs="Times New Roman"/>
        </w:rPr>
      </w:pPr>
    </w:p>
    <w:p w:rsidR="006230F9" w:rsidRDefault="006230F9" w:rsidP="006230F9">
      <w:pPr>
        <w:pStyle w:val="KeinLeerraum"/>
        <w:jc w:val="both"/>
        <w:rPr>
          <w:rFonts w:cs="Times New Roman"/>
        </w:rPr>
      </w:pPr>
      <w:r w:rsidRPr="00DC0E52">
        <w:rPr>
          <w:rFonts w:cs="Times New Roman"/>
        </w:rPr>
        <w:t xml:space="preserve">Der </w:t>
      </w:r>
      <w:r w:rsidRPr="00DC0E52">
        <w:rPr>
          <w:rFonts w:cs="Times New Roman"/>
          <w:b/>
        </w:rPr>
        <w:t>BGH</w:t>
      </w:r>
      <w:r w:rsidRPr="00DC0E52">
        <w:rPr>
          <w:rFonts w:cs="Times New Roman"/>
        </w:rPr>
        <w:t xml:space="preserve"> hat mit Urteil vom 08.04.2020 entschieden, das</w:t>
      </w:r>
      <w:r>
        <w:rPr>
          <w:rFonts w:cs="Times New Roman"/>
        </w:rPr>
        <w:t>s</w:t>
      </w:r>
      <w:r w:rsidRPr="00DC0E52">
        <w:rPr>
          <w:rFonts w:cs="Times New Roman"/>
        </w:rPr>
        <w:t xml:space="preserve"> eine einzelvertragliche Vereinbarung dazu, dass der Gewerbemieter sämtliche Betriebskosten übernimmt, die für eine Auslegung erforderliche hinreichende Bestimmtheit</w:t>
      </w:r>
      <w:r>
        <w:rPr>
          <w:rFonts w:cs="Times New Roman"/>
        </w:rPr>
        <w:t xml:space="preserve"> bzw. Bestimmbarkeit aufweist. D</w:t>
      </w:r>
      <w:r w:rsidRPr="00DC0E52">
        <w:rPr>
          <w:rFonts w:cs="Times New Roman"/>
        </w:rPr>
        <w:t>ass der Vereinbarung eine beispielhafte Aufzählung von Kostenarten folgt (insbesondere), hindert diese Annahme nicht</w:t>
      </w:r>
      <w:r>
        <w:rPr>
          <w:rFonts w:cs="Times New Roman"/>
        </w:rPr>
        <w:t xml:space="preserve">. </w:t>
      </w:r>
      <w:r w:rsidRPr="00DC0E52">
        <w:rPr>
          <w:rFonts w:cs="Times New Roman"/>
        </w:rPr>
        <w:t>Nach der gesetzlichen Grundvorstellung hat zwar der Vermieter die Betriebskosten zu tragen, jedoch kann diese Belastung die Mieter im vereinbarungswidrig – hier qualifiziert als Individualabrede – überbürdet werden. Derlei Abrede muss bestimmt, zumindest aber bestimmbar sein, so</w:t>
      </w:r>
      <w:r w:rsidRPr="00DC0E52">
        <w:rPr>
          <w:rFonts w:cs="Times New Roman"/>
        </w:rPr>
        <w:t>dass der Mieter erkennen kann, welche zusätzlichen Kosten ne</w:t>
      </w:r>
      <w:r>
        <w:rPr>
          <w:rFonts w:cs="Times New Roman"/>
        </w:rPr>
        <w:t>ben der Miete auf ihn zukommen. Der Begriff B</w:t>
      </w:r>
      <w:r w:rsidRPr="00DC0E52">
        <w:rPr>
          <w:rFonts w:cs="Times New Roman"/>
        </w:rPr>
        <w:t>etriebskosten ist entsprechend definiert. Daher werden alle sich im Zeitpunkt des Vertragsschlusses in der einschlägigen Norm befindlichen Betriebskostenarten erfasst (BetrKV). Aus dem Zusatz insbesondere folgt kein abschließender Charakter, es ist eine nur beispielhafte Aufzählung.</w:t>
      </w:r>
    </w:p>
    <w:p w:rsidR="006230F9" w:rsidRDefault="006230F9" w:rsidP="006230F9">
      <w:pPr>
        <w:pStyle w:val="KeinLeerraum"/>
        <w:jc w:val="both"/>
        <w:rPr>
          <w:rFonts w:cs="Times New Roman"/>
        </w:rPr>
      </w:pPr>
    </w:p>
    <w:p w:rsidR="006230F9" w:rsidRDefault="006230F9" w:rsidP="006230F9">
      <w:pPr>
        <w:pStyle w:val="KeinLeerraum"/>
        <w:jc w:val="both"/>
        <w:rPr>
          <w:rFonts w:cs="Times New Roman"/>
        </w:rPr>
      </w:pPr>
      <w:r w:rsidRPr="00DC0E52">
        <w:rPr>
          <w:rFonts w:cs="Times New Roman"/>
        </w:rPr>
        <w:t xml:space="preserve">Das </w:t>
      </w:r>
      <w:r w:rsidRPr="00DC0E52">
        <w:rPr>
          <w:rFonts w:cs="Times New Roman"/>
          <w:b/>
        </w:rPr>
        <w:t>Landessozialgericht Bayern</w:t>
      </w:r>
      <w:r w:rsidRPr="00DC0E52">
        <w:rPr>
          <w:rFonts w:cs="Times New Roman"/>
        </w:rPr>
        <w:t xml:space="preserve"> hat mit Urteil vom 29.04.2020 entschieden, dass eine Stellplatzmiete von den nach dem SGB II zu erbringenden Leistungen gedeckt sein kann, falls die Wohnung nur mit Stellplatz zu mieten ist. Zwar gehört die Stellplatzmiete nicht ohne we</w:t>
      </w:r>
      <w:r>
        <w:rPr>
          <w:rFonts w:cs="Times New Roman"/>
        </w:rPr>
        <w:t xml:space="preserve">iteres zu den Unterkunftsbedarfen </w:t>
      </w:r>
      <w:r w:rsidRPr="00DC0E52">
        <w:rPr>
          <w:rFonts w:cs="Times New Roman"/>
        </w:rPr>
        <w:t>i. S. v. § 22 Abs. 1 Satz 1 SGB II. Eine Ausnahme kommt aber in Betracht, wenn Wohnung und Stellplatz als Einheit vermietet werden: En</w:t>
      </w:r>
      <w:r>
        <w:rPr>
          <w:rFonts w:cs="Times New Roman"/>
        </w:rPr>
        <w:t>tscheidend ist, dass die Hauptmietsache Unterkunftsz</w:t>
      </w:r>
      <w:r w:rsidRPr="00DC0E52">
        <w:rPr>
          <w:rFonts w:cs="Times New Roman"/>
        </w:rPr>
        <w:t>wecken dient und der Rahmen der Angemessenheit für den fraglichen Wohnort insgesamt nicht verlassen wird, dann braucht auch keine kostensenkende Untervermietung erwogen zu werden</w:t>
      </w:r>
    </w:p>
    <w:p w:rsidR="006230F9" w:rsidRDefault="006230F9" w:rsidP="006230F9">
      <w:pPr>
        <w:pStyle w:val="KeinLeerraum"/>
        <w:jc w:val="both"/>
        <w:rPr>
          <w:rFonts w:cs="Times New Roman"/>
        </w:rPr>
      </w:pPr>
    </w:p>
    <w:p w:rsidR="006230F9" w:rsidRDefault="006230F9" w:rsidP="006230F9">
      <w:pPr>
        <w:pStyle w:val="KeinLeerraum"/>
        <w:jc w:val="both"/>
      </w:pPr>
      <w:r>
        <w:rPr>
          <w:rFonts w:cs="Times New Roman"/>
        </w:rPr>
        <w:t xml:space="preserve">Der </w:t>
      </w:r>
      <w:r w:rsidRPr="00C6273E">
        <w:rPr>
          <w:rFonts w:cs="Times New Roman"/>
          <w:b/>
        </w:rPr>
        <w:t>BGH</w:t>
      </w:r>
      <w:r>
        <w:rPr>
          <w:rFonts w:cs="Times New Roman"/>
        </w:rPr>
        <w:t xml:space="preserve"> hat mit Urteil vom 10.07.2020 folgendes entschieden:</w:t>
      </w:r>
      <w:r w:rsidRPr="00C6273E">
        <w:rPr>
          <w:rFonts w:cs="Times New Roman"/>
        </w:rPr>
        <w:t xml:space="preserve"> Eine vom Jobcenter vorgenommene Schonfristzahlung auf Mietschulden lässt das Widerspruchsrecht des Mieters gegen die ordentliche Kündigung nicht wiederaufleben. Ein dabei ergangenes Teilurteil gegen einen von mehreren Mietern ist unzulässig, da es zu widersprechenden Entscheidungen kommen kann.</w:t>
      </w:r>
      <w:r>
        <w:rPr>
          <w:rFonts w:cs="Times New Roman"/>
        </w:rPr>
        <w:t xml:space="preserve"> </w:t>
      </w:r>
      <w:r>
        <w:t xml:space="preserve">Das </w:t>
      </w:r>
      <w:r>
        <w:rPr>
          <w:rStyle w:val="zit"/>
        </w:rPr>
        <w:t>AG Berlin-Charlottenburg</w:t>
      </w:r>
      <w:r>
        <w:t xml:space="preserve"> gab der Klage statt. Im Berufungsverfahren vor dem </w:t>
      </w:r>
      <w:r>
        <w:rPr>
          <w:rStyle w:val="zit"/>
        </w:rPr>
        <w:t>LG Berlin</w:t>
      </w:r>
      <w:r>
        <w:t xml:space="preserve"> hatten die Vermieter ihre Räumungsklage nun auch auf den Lebensgefährten erweitert. Die Berufung der Mieterin hatte Erfolg. Das Landgericht wies die Räumungsklage durch Teilurteil bezüglich der Frau ab: Das Mietverhältnis verlängere sich nach </w:t>
      </w:r>
      <w:r>
        <w:rPr>
          <w:rStyle w:val="zit"/>
        </w:rPr>
        <w:t xml:space="preserve">§§ </w:t>
      </w:r>
      <w:hyperlink r:id="rId7" w:history="1">
        <w:r w:rsidRPr="00C6273E">
          <w:rPr>
            <w:rStyle w:val="zit"/>
          </w:rPr>
          <w:t>574</w:t>
        </w:r>
      </w:hyperlink>
      <w:r>
        <w:rPr>
          <w:rStyle w:val="zit"/>
        </w:rPr>
        <w:t xml:space="preserve">, </w:t>
      </w:r>
      <w:hyperlink r:id="rId8" w:history="1">
        <w:r w:rsidRPr="00C6273E">
          <w:rPr>
            <w:rStyle w:val="zit"/>
          </w:rPr>
          <w:t>574a</w:t>
        </w:r>
      </w:hyperlink>
      <w:r>
        <w:rPr>
          <w:rStyle w:val="zit"/>
        </w:rPr>
        <w:t xml:space="preserve"> BGB</w:t>
      </w:r>
      <w:r w:rsidRPr="00C6273E">
        <w:rPr>
          <w:rStyle w:val="zit"/>
        </w:rPr>
        <w:t xml:space="preserve"> infolge einer nicht zu rechtfertigenden Härte auf unbestimmte Zeit. Die Sperre des </w:t>
      </w:r>
      <w:r>
        <w:rPr>
          <w:rStyle w:val="zit"/>
        </w:rPr>
        <w:t xml:space="preserve">§ </w:t>
      </w:r>
      <w:hyperlink r:id="rId9" w:history="1">
        <w:r w:rsidRPr="00C6273E">
          <w:rPr>
            <w:rStyle w:val="zit"/>
          </w:rPr>
          <w:t>574</w:t>
        </w:r>
      </w:hyperlink>
      <w:r>
        <w:rPr>
          <w:rStyle w:val="zit"/>
        </w:rPr>
        <w:t xml:space="preserve"> Abs. </w:t>
      </w:r>
      <w:hyperlink r:id="rId10" w:history="1">
        <w:r w:rsidRPr="00C6273E">
          <w:rPr>
            <w:rStyle w:val="zit"/>
          </w:rPr>
          <w:t>1</w:t>
        </w:r>
      </w:hyperlink>
      <w:r>
        <w:rPr>
          <w:rStyle w:val="zit"/>
        </w:rPr>
        <w:t xml:space="preserve"> Satz 2 BGB</w:t>
      </w:r>
      <w:r w:rsidRPr="00C6273E">
        <w:rPr>
          <w:rStyle w:val="zit"/>
        </w:rPr>
        <w:t xml:space="preserve"> für den Widerspruch gegen die ordentliche Kündigung bei glichzeitig möglicher fristloser Kündigung sei hier durch die rechtzeitige Zahlung des Jobcenters entfallen. Der </w:t>
      </w:r>
      <w:r>
        <w:rPr>
          <w:rStyle w:val="zit"/>
        </w:rPr>
        <w:t>BGH</w:t>
      </w:r>
      <w:r w:rsidRPr="00C6273E">
        <w:rPr>
          <w:rStyle w:val="zit"/>
        </w:rPr>
        <w:t xml:space="preserve"> verwies die Sache an das LG zurück. Der Widerspruch sei ausgeschlossen gewesen, da ein Zahlungsverzug in einer die Kündigung rechtfertigenden beziehungsweise diese Grenze sogar deutlich übersteigenden Höhe vorgelegen habe. Das Widerspruchsrecht des Mie</w:t>
      </w:r>
      <w:r w:rsidRPr="00C6273E">
        <w:rPr>
          <w:rStyle w:val="zit"/>
        </w:rPr>
        <w:lastRenderedPageBreak/>
        <w:t xml:space="preserve">ters nach </w:t>
      </w:r>
      <w:r w:rsidRPr="00C6273E">
        <w:t xml:space="preserve">§ </w:t>
      </w:r>
      <w:hyperlink r:id="rId11" w:history="1">
        <w:r w:rsidRPr="00C6273E">
          <w:t>574</w:t>
        </w:r>
      </w:hyperlink>
      <w:r w:rsidRPr="00C6273E">
        <w:t xml:space="preserve"> BGB</w:t>
      </w:r>
      <w:r>
        <w:t xml:space="preserve"> lebe nicht wieder auf. Die Schonfristzahlung des Sozialhilfeträgers ändere daran nichts. Entscheidend war aus Sicht des Senats, dass bei Ausspruch der ordentlichen Kündigung Gründe für eine fristlose Vertragsauflösung bestanden hatten. Spätere Entwicklungen seien nicht maßgeblich.</w:t>
      </w:r>
    </w:p>
    <w:p w:rsidR="006230F9" w:rsidRDefault="006230F9" w:rsidP="006230F9">
      <w:pPr>
        <w:pStyle w:val="KeinLeerraum"/>
        <w:jc w:val="both"/>
      </w:pPr>
    </w:p>
    <w:p w:rsidR="006230F9" w:rsidRDefault="005B308C" w:rsidP="006230F9">
      <w:pPr>
        <w:pStyle w:val="KeinLeerraum"/>
        <w:jc w:val="both"/>
        <w:rPr>
          <w:rFonts w:cs="Times New Roman"/>
        </w:rPr>
      </w:pPr>
      <w:r w:rsidRPr="005B308C">
        <w:rPr>
          <w:rFonts w:cs="Times New Roman"/>
        </w:rPr>
        <w:t xml:space="preserve">Das </w:t>
      </w:r>
      <w:r w:rsidRPr="005B308C">
        <w:rPr>
          <w:rFonts w:cs="Times New Roman"/>
          <w:b/>
        </w:rPr>
        <w:t>Landgericht Mönchengladbach</w:t>
      </w:r>
      <w:r w:rsidRPr="005B308C">
        <w:rPr>
          <w:rFonts w:cs="Times New Roman"/>
        </w:rPr>
        <w:t xml:space="preserve"> hat mit Hinweisbeschluss vom 02.03.2020 zur Vermietung von Funk-Heizkosten-Verteilern folgendes entschieden</w:t>
      </w:r>
      <w:r>
        <w:rPr>
          <w:rFonts w:cs="Times New Roman"/>
        </w:rPr>
        <w:t xml:space="preserve">: </w:t>
      </w:r>
      <w:r w:rsidRPr="005B308C">
        <w:rPr>
          <w:rFonts w:cs="Times New Roman"/>
        </w:rPr>
        <w:t xml:space="preserve">Im Jahr 2013 vermietete die Klägerin an den Beklagten Funk-Heizkostenverteiler, die über einen eigens dazu bestimmtes Gerät ausgelesen werden können. Diese Aufgabe übernimmt zunächst die Klägerin </w:t>
      </w:r>
      <w:r>
        <w:rPr>
          <w:rFonts w:cs="Times New Roman"/>
        </w:rPr>
        <w:t>und erstellt</w:t>
      </w:r>
      <w:r w:rsidRPr="005B308C">
        <w:rPr>
          <w:rFonts w:cs="Times New Roman"/>
        </w:rPr>
        <w:t xml:space="preserve"> auch die Abrechnungen, bis die Beklagten insoweit ein Konkurrenzunternehmen </w:t>
      </w:r>
      <w:r>
        <w:rPr>
          <w:rFonts w:cs="Times New Roman"/>
        </w:rPr>
        <w:t>beauftragen, dass die Ablesung mangels Gerätev</w:t>
      </w:r>
      <w:r w:rsidRPr="005B308C">
        <w:rPr>
          <w:rFonts w:cs="Times New Roman"/>
        </w:rPr>
        <w:t>erfügbarkeit aber nicht per Funk vornehmen kann, sondern die optische Anzeige der Geräte ablesen muss. Die Beklagten mindern daraufhin die Miete um die Hälfte, die Klägerin fordert die Rückstände ein. Das Landgericht Mönchengladbach hält die Minderung für berechtigt. Zum vertragsgemäßen Gebrauc</w:t>
      </w:r>
      <w:r>
        <w:rPr>
          <w:rFonts w:cs="Times New Roman"/>
        </w:rPr>
        <w:t>h der Messgeräte rechnet, dass s</w:t>
      </w:r>
      <w:r w:rsidRPr="005B308C">
        <w:rPr>
          <w:rFonts w:cs="Times New Roman"/>
        </w:rPr>
        <w:t>ie per Funk ausgelesen werden können; der Mieter kann davon ausgehen, dass dies ohne zusätzlichen Aufwand der Fall ist. Insoweit kommt es nicht darauf an, ob die Parteien bei Vertragsabschluss ein Auslesen durch ein anderes Unternehmen angesprochen haben. Jedenfalls müssen die Beklagten nicht damit rechnen, dass die Ermittlung der Daten per Funk allein über ein vo</w:t>
      </w:r>
      <w:r>
        <w:rPr>
          <w:rFonts w:cs="Times New Roman"/>
        </w:rPr>
        <w:t>n der Klägerin vorgehalten</w:t>
      </w:r>
      <w:r w:rsidRPr="005B308C">
        <w:rPr>
          <w:rFonts w:cs="Times New Roman"/>
        </w:rPr>
        <w:t xml:space="preserve">es </w:t>
      </w:r>
      <w:r>
        <w:rPr>
          <w:rFonts w:cs="Times New Roman"/>
        </w:rPr>
        <w:t>System erreichbar</w:t>
      </w:r>
      <w:r w:rsidRPr="005B308C">
        <w:rPr>
          <w:rFonts w:cs="Times New Roman"/>
        </w:rPr>
        <w:t xml:space="preserve"> ist. Damit bewirkt die Klägerin eine Funktionseinschränkung, die einen zur Minderung der Miete berechtigen den Mangel darstellt.</w:t>
      </w:r>
    </w:p>
    <w:p w:rsidR="005B308C" w:rsidRDefault="005B308C" w:rsidP="006230F9">
      <w:pPr>
        <w:pStyle w:val="KeinLeerraum"/>
        <w:jc w:val="both"/>
        <w:rPr>
          <w:rFonts w:cs="Times New Roman"/>
        </w:rPr>
      </w:pPr>
    </w:p>
    <w:p w:rsidR="005B308C" w:rsidRDefault="005B308C" w:rsidP="006230F9">
      <w:pPr>
        <w:pStyle w:val="KeinLeerraum"/>
        <w:jc w:val="both"/>
        <w:rPr>
          <w:rFonts w:cs="Times New Roman"/>
        </w:rPr>
      </w:pPr>
      <w:r w:rsidRPr="005B308C">
        <w:rPr>
          <w:rFonts w:cs="Times New Roman"/>
        </w:rPr>
        <w:t xml:space="preserve">Das </w:t>
      </w:r>
      <w:r w:rsidRPr="005B308C">
        <w:rPr>
          <w:rFonts w:cs="Times New Roman"/>
          <w:b/>
        </w:rPr>
        <w:t>Landgericht Hamburg</w:t>
      </w:r>
      <w:r w:rsidRPr="005B308C">
        <w:rPr>
          <w:rFonts w:cs="Times New Roman"/>
        </w:rPr>
        <w:t xml:space="preserve"> hat mit Urteil vom 15.01.2020 entschieden, dass, solange die Gemeinschaftsordnung nichts Gegenteiliges regelt, ein Wohnungseigentümer auch seinen Mieter mit seiner Vertretung in der Versammlung beauftragen kann. In der Gemeinschaftsordnung ist für den Fall, dass Wohnungseigentum mehreren Personen zusteht, </w:t>
      </w:r>
      <w:r>
        <w:rPr>
          <w:rFonts w:cs="Times New Roman"/>
        </w:rPr>
        <w:t>ge</w:t>
      </w:r>
      <w:r w:rsidRPr="005B308C">
        <w:rPr>
          <w:rFonts w:cs="Times New Roman"/>
        </w:rPr>
        <w:t xml:space="preserve">regelt, dass diese dann einen geeigneten Bevollmächtigten für alle mit der Verwaltung im Zusammenhang stehenden Angelegenheiten zu bestellen haben. Zudem kann sich jeder Wohnungseigentümer mittels schriftlicher Vollmacht in der Eigentümerversammlung vertreten lassen. Ein Wohnungseigentümer wendet sich nun dagegen, </w:t>
      </w:r>
      <w:r w:rsidRPr="005B308C">
        <w:rPr>
          <w:rFonts w:cs="Times New Roman"/>
        </w:rPr>
        <w:t>dass der Verwalter eine</w:t>
      </w:r>
      <w:r>
        <w:rPr>
          <w:rFonts w:cs="Times New Roman"/>
        </w:rPr>
        <w:t>m</w:t>
      </w:r>
      <w:r w:rsidRPr="005B308C">
        <w:rPr>
          <w:rFonts w:cs="Times New Roman"/>
        </w:rPr>
        <w:t xml:space="preserve"> Mieter elektronisch Informationen zu Verwaltungsangelegenheiten zukommen lässt, der ihm von mehreren Eigentümern einer Wohneinheit</w:t>
      </w:r>
      <w:r>
        <w:rPr>
          <w:rFonts w:cs="Times New Roman"/>
        </w:rPr>
        <w:t xml:space="preserve"> als Bevollmächtigter benannt wurde</w:t>
      </w:r>
      <w:r w:rsidRPr="005B308C">
        <w:rPr>
          <w:rFonts w:cs="Times New Roman"/>
        </w:rPr>
        <w:t xml:space="preserve">. Angesichts des </w:t>
      </w:r>
      <w:r>
        <w:rPr>
          <w:rFonts w:cs="Times New Roman"/>
        </w:rPr>
        <w:t>Regelungskontextes</w:t>
      </w:r>
      <w:r w:rsidRPr="005B308C">
        <w:rPr>
          <w:rFonts w:cs="Times New Roman"/>
        </w:rPr>
        <w:t xml:space="preserve"> in der Gemeinschaftsordnung kommt auch ein Mieter als zur Vertretung geeignete Person in Betracht, weil sich allein aus dessen Stellung nicht ableiten lässt, er w</w:t>
      </w:r>
      <w:r w:rsidR="00F60E5E">
        <w:rPr>
          <w:rFonts w:cs="Times New Roman"/>
        </w:rPr>
        <w:t>erde in seiner Eigenschaft als O</w:t>
      </w:r>
      <w:r w:rsidRPr="005B308C">
        <w:rPr>
          <w:rFonts w:cs="Times New Roman"/>
        </w:rPr>
        <w:t>rtsansässiger die Interessen der Wohnungseigentümer beeinträchtigen. Ein Geheimhaltungsinteresse des Klägers steht dem nicht entgegen. Er muss es hinnehmen, dass in Ausfüllung der Gemeinschaftsordnung auch ein Mieter bevollmächtigt wird. Dass die Kommunikation mit dem Verwalter elektronisch geführt wird, ist jedenfalls solange nicht zu beanstanden, wie der Kläger eine Gefährdung berechtigter Interessen nicht substantiiert darzulegen vermag</w:t>
      </w:r>
      <w:r w:rsidR="00F60E5E">
        <w:rPr>
          <w:rFonts w:cs="Times New Roman"/>
        </w:rPr>
        <w:t>.</w:t>
      </w:r>
    </w:p>
    <w:p w:rsidR="00F60E5E" w:rsidRDefault="00F60E5E" w:rsidP="006230F9">
      <w:pPr>
        <w:pStyle w:val="KeinLeerraum"/>
        <w:jc w:val="both"/>
        <w:rPr>
          <w:rFonts w:cs="Times New Roman"/>
        </w:rPr>
      </w:pPr>
    </w:p>
    <w:p w:rsidR="00F60E5E" w:rsidRDefault="001942BA" w:rsidP="006230F9">
      <w:pPr>
        <w:pStyle w:val="KeinLeerraum"/>
        <w:jc w:val="both"/>
        <w:rPr>
          <w:rFonts w:cs="Times New Roman"/>
        </w:rPr>
      </w:pPr>
      <w:r w:rsidRPr="001942BA">
        <w:rPr>
          <w:rFonts w:cs="Times New Roman"/>
        </w:rPr>
        <w:t xml:space="preserve">Der </w:t>
      </w:r>
      <w:r w:rsidRPr="001942BA">
        <w:rPr>
          <w:rFonts w:cs="Times New Roman"/>
          <w:b/>
        </w:rPr>
        <w:t>BGH</w:t>
      </w:r>
      <w:r w:rsidRPr="001942BA">
        <w:rPr>
          <w:rFonts w:cs="Times New Roman"/>
        </w:rPr>
        <w:t xml:space="preserve"> hat mit Urteil vom 20.05.2020 entschieden, dass</w:t>
      </w:r>
      <w:r>
        <w:rPr>
          <w:rFonts w:cs="Times New Roman"/>
        </w:rPr>
        <w:t xml:space="preserve"> es</w:t>
      </w:r>
      <w:r w:rsidRPr="001942BA">
        <w:rPr>
          <w:rFonts w:cs="Times New Roman"/>
        </w:rPr>
        <w:t xml:space="preserve"> </w:t>
      </w:r>
      <w:r>
        <w:rPr>
          <w:rFonts w:cs="Times New Roman"/>
        </w:rPr>
        <w:t>für</w:t>
      </w:r>
      <w:r w:rsidRPr="001942BA">
        <w:rPr>
          <w:rFonts w:cs="Times New Roman"/>
        </w:rPr>
        <w:t xml:space="preserve"> Maßnahmen der energetischen Modernisierung der Information des Mieters über diejenigen Tatsachen, die es </w:t>
      </w:r>
      <w:r>
        <w:rPr>
          <w:rFonts w:cs="Times New Roman"/>
        </w:rPr>
        <w:t>ihm</w:t>
      </w:r>
      <w:r w:rsidRPr="001942BA">
        <w:rPr>
          <w:rFonts w:cs="Times New Roman"/>
        </w:rPr>
        <w:t xml:space="preserve"> ermöglichen, in groben Zügen die voraussichtlichen Auswirkungen der Umsetzung der baulichen Maßnahme auf den Mietgebrauch abzuschätzen, bedarf. Es genügt, wenn der Mieter gegebenenfalls mit sachverständiger Hilfe überschlägig ermitteln kann, ob die geplanten baulichen Maßnahmen voraussichtlich zu einer nachhaltigen Energieeinsparung führen werden</w:t>
      </w:r>
      <w:r>
        <w:rPr>
          <w:rFonts w:cs="Times New Roman"/>
        </w:rPr>
        <w:t xml:space="preserve">. </w:t>
      </w:r>
      <w:r w:rsidRPr="001942BA">
        <w:rPr>
          <w:rFonts w:cs="Times New Roman"/>
        </w:rPr>
        <w:t>Der Mindestinhalt der Ankündigung ist am Informationsbedürfnis des Mieters auszurichten.</w:t>
      </w:r>
    </w:p>
    <w:p w:rsidR="001942BA" w:rsidRDefault="001942BA" w:rsidP="006230F9">
      <w:pPr>
        <w:pStyle w:val="KeinLeerraum"/>
        <w:jc w:val="both"/>
        <w:rPr>
          <w:rFonts w:cs="Times New Roman"/>
        </w:rPr>
      </w:pPr>
    </w:p>
    <w:p w:rsidR="001942BA" w:rsidRDefault="001942BA" w:rsidP="006230F9">
      <w:pPr>
        <w:pStyle w:val="KeinLeerraum"/>
        <w:jc w:val="both"/>
        <w:rPr>
          <w:rFonts w:cs="Times New Roman"/>
        </w:rPr>
      </w:pPr>
      <w:r w:rsidRPr="001942BA">
        <w:rPr>
          <w:rFonts w:cs="Times New Roman"/>
        </w:rPr>
        <w:t xml:space="preserve">Das </w:t>
      </w:r>
      <w:r w:rsidRPr="001942BA">
        <w:rPr>
          <w:rFonts w:cs="Times New Roman"/>
          <w:b/>
        </w:rPr>
        <w:t xml:space="preserve">Landgericht München </w:t>
      </w:r>
      <w:r>
        <w:rPr>
          <w:rFonts w:cs="Times New Roman"/>
          <w:b/>
        </w:rPr>
        <w:t>I</w:t>
      </w:r>
      <w:r w:rsidRPr="001942BA">
        <w:rPr>
          <w:rFonts w:cs="Times New Roman"/>
        </w:rPr>
        <w:t xml:space="preserve"> hat durch Urteil vom 18.06.2020 festgestellt, dass bei Schlüsselverlust nicht immer Ersatz der gesamten Kosten für die Schließanlage verlangt werden kann.</w:t>
      </w:r>
      <w:r>
        <w:rPr>
          <w:rFonts w:cs="Times New Roman"/>
        </w:rPr>
        <w:t xml:space="preserve"> </w:t>
      </w:r>
      <w:r w:rsidRPr="001942BA">
        <w:rPr>
          <w:rFonts w:cs="Times New Roman"/>
        </w:rPr>
        <w:t xml:space="preserve">Dem Vermieter steht zwar ein Schadensersatzanspruch gegen den Mieter zu. Es kommt jedoch für die Höhe des Anspruches darauf an, ob sich der Geschädigte aus </w:t>
      </w:r>
      <w:r>
        <w:rPr>
          <w:rFonts w:cs="Times New Roman"/>
        </w:rPr>
        <w:t>objektiver</w:t>
      </w:r>
      <w:r w:rsidRPr="001942BA">
        <w:rPr>
          <w:rFonts w:cs="Times New Roman"/>
        </w:rPr>
        <w:t xml:space="preserve"> Sicht unter den konkret vorliegenden Umstände zur Beseitigung einer Missbrauchsgefahr veranlasst sehen darf und dann die Schließanlage auch tatsächlich austauscht</w:t>
      </w:r>
      <w:r>
        <w:rPr>
          <w:rFonts w:cs="Times New Roman"/>
        </w:rPr>
        <w:t xml:space="preserve">. </w:t>
      </w:r>
      <w:r w:rsidRPr="001942BA">
        <w:rPr>
          <w:rFonts w:cs="Times New Roman"/>
        </w:rPr>
        <w:t>Das Gericht hält daher nur</w:t>
      </w:r>
      <w:r>
        <w:rPr>
          <w:rFonts w:cs="Times New Roman"/>
        </w:rPr>
        <w:t xml:space="preserve"> den Austausch des Wohnungstürs</w:t>
      </w:r>
      <w:r w:rsidRPr="001942BA">
        <w:rPr>
          <w:rFonts w:cs="Times New Roman"/>
        </w:rPr>
        <w:t xml:space="preserve">chlosses des Mieters für notwendig, da der Vermieter keine Umstände dargelegt hat, die den gesamten Austausch der Anlage rechtfertigen. Eine Missbrauchsgefahr erscheint </w:t>
      </w:r>
      <w:r>
        <w:rPr>
          <w:rFonts w:cs="Times New Roman"/>
        </w:rPr>
        <w:t>fern</w:t>
      </w:r>
      <w:r w:rsidRPr="001942BA">
        <w:rPr>
          <w:rFonts w:cs="Times New Roman"/>
        </w:rPr>
        <w:t xml:space="preserve">liegend, der Schlüssel war nicht mit Adresse des Hauses versehen, es konnte damit nur die </w:t>
      </w:r>
      <w:r w:rsidRPr="001942BA">
        <w:rPr>
          <w:rFonts w:cs="Times New Roman"/>
        </w:rPr>
        <w:lastRenderedPageBreak/>
        <w:t>Hauseingangstür und die Wohnungstür des Mieters geöffnet werden, nicht auch andere Wohnungen oder der Zugang zur Tiefgarage. Da es sich</w:t>
      </w:r>
      <w:r w:rsidR="009B4B7B">
        <w:rPr>
          <w:rFonts w:cs="Times New Roman"/>
        </w:rPr>
        <w:t xml:space="preserve"> um eine sogenannte erweiterbare </w:t>
      </w:r>
      <w:r w:rsidRPr="001942BA">
        <w:rPr>
          <w:rFonts w:cs="Times New Roman"/>
        </w:rPr>
        <w:t>Schließanlage handelt, reiche es aus, nur ein passendes Wohnungstürschloss zu ersetzen und nicht die gesamte Anlage. Bei einer nicht erweiterbar</w:t>
      </w:r>
      <w:r w:rsidR="009B4B7B">
        <w:rPr>
          <w:rFonts w:cs="Times New Roman"/>
        </w:rPr>
        <w:t>en</w:t>
      </w:r>
      <w:r w:rsidRPr="001942BA">
        <w:rPr>
          <w:rFonts w:cs="Times New Roman"/>
        </w:rPr>
        <w:t xml:space="preserve"> Schließanlage ist der Vermieter, da in Mietverhältnissen besondere Pflicht</w:t>
      </w:r>
      <w:r w:rsidR="009B4B7B">
        <w:rPr>
          <w:rFonts w:cs="Times New Roman"/>
        </w:rPr>
        <w:t>en</w:t>
      </w:r>
      <w:r w:rsidRPr="001942BA">
        <w:rPr>
          <w:rFonts w:cs="Times New Roman"/>
        </w:rPr>
        <w:t xml:space="preserve"> zur Rücksichtnahme gelten, verpflichtet, den Mieter darauf hinzuweisen, dass es sich nicht um eine erweiterbar</w:t>
      </w:r>
      <w:r w:rsidR="009B4B7B">
        <w:rPr>
          <w:rFonts w:cs="Times New Roman"/>
        </w:rPr>
        <w:t>e</w:t>
      </w:r>
      <w:r w:rsidRPr="001942BA">
        <w:rPr>
          <w:rFonts w:cs="Times New Roman"/>
        </w:rPr>
        <w:t xml:space="preserve"> Schließanlage handelt. Verletzt er diese Pflicht, muss er im Schadensfall etwaige Mehrkosten selber zahlen</w:t>
      </w:r>
      <w:r w:rsidR="009B4B7B">
        <w:rPr>
          <w:rFonts w:cs="Times New Roman"/>
        </w:rPr>
        <w:t>.</w:t>
      </w:r>
    </w:p>
    <w:p w:rsidR="0064688B" w:rsidRDefault="0064688B" w:rsidP="006230F9">
      <w:pPr>
        <w:pStyle w:val="KeinLeerraum"/>
        <w:jc w:val="both"/>
        <w:rPr>
          <w:rFonts w:cs="Times New Roman"/>
        </w:rPr>
      </w:pPr>
    </w:p>
    <w:p w:rsidR="0064688B" w:rsidRDefault="0064688B" w:rsidP="006230F9">
      <w:pPr>
        <w:pStyle w:val="KeinLeerraum"/>
        <w:jc w:val="both"/>
        <w:rPr>
          <w:rFonts w:cs="Times New Roman"/>
        </w:rPr>
      </w:pPr>
      <w:r w:rsidRPr="0064688B">
        <w:rPr>
          <w:rFonts w:cs="Times New Roman"/>
        </w:rPr>
        <w:t xml:space="preserve">Das </w:t>
      </w:r>
      <w:r w:rsidRPr="0064688B">
        <w:rPr>
          <w:rFonts w:cs="Times New Roman"/>
          <w:b/>
        </w:rPr>
        <w:t>Landgericht Berlin</w:t>
      </w:r>
      <w:r w:rsidRPr="0064688B">
        <w:rPr>
          <w:rFonts w:cs="Times New Roman"/>
        </w:rPr>
        <w:t xml:space="preserve"> hat mit Urteil vom 11.03.2020 entschieden, dass der Vermieter bei einer Eigenbedarfskündigung verpflichtet ist, dem Mieter zur Vermietung freistehende oder im Kündigungszeitraum frei werdende Wohnungen im selben Haus oder in derselben Wohnanlage grundsätzlich anzubieten. Eine Entscheidung darüber, was für den Mieter angemessen oder interessengerecht ist, hat der Vermieter dabei nicht zu</w:t>
      </w:r>
      <w:r>
        <w:rPr>
          <w:rFonts w:cs="Times New Roman"/>
        </w:rPr>
        <w:t xml:space="preserve"> </w:t>
      </w:r>
      <w:r w:rsidRPr="0064688B">
        <w:rPr>
          <w:rFonts w:cs="Times New Roman"/>
        </w:rPr>
        <w:t>treffen</w:t>
      </w:r>
      <w:r>
        <w:rPr>
          <w:rFonts w:cs="Times New Roman"/>
        </w:rPr>
        <w:t xml:space="preserve">. </w:t>
      </w:r>
      <w:r w:rsidRPr="0064688B">
        <w:rPr>
          <w:rFonts w:cs="Times New Roman"/>
        </w:rPr>
        <w:t>Der Vermieter muss somit auch eine Wohnung anbieten, die nur halb so groß ist wie die ursprünglic</w:t>
      </w:r>
      <w:r>
        <w:rPr>
          <w:rFonts w:cs="Times New Roman"/>
        </w:rPr>
        <w:t>he Mietwohnung. Die Anbietp</w:t>
      </w:r>
      <w:r w:rsidRPr="0064688B">
        <w:rPr>
          <w:rFonts w:cs="Times New Roman"/>
        </w:rPr>
        <w:t>flicht beinhalte</w:t>
      </w:r>
      <w:r>
        <w:rPr>
          <w:rFonts w:cs="Times New Roman"/>
        </w:rPr>
        <w:t>t</w:t>
      </w:r>
      <w:r w:rsidRPr="0064688B">
        <w:rPr>
          <w:rFonts w:cs="Times New Roman"/>
        </w:rPr>
        <w:t xml:space="preserve"> dabei nicht, dass eine Alternativwohnung zu denselben Konditionen wie die bisherige Wohnung angeboten werden muss</w:t>
      </w:r>
      <w:r>
        <w:rPr>
          <w:rFonts w:cs="Times New Roman"/>
        </w:rPr>
        <w:t>.</w:t>
      </w:r>
    </w:p>
    <w:p w:rsidR="0064688B" w:rsidRDefault="0064688B" w:rsidP="006230F9">
      <w:pPr>
        <w:pStyle w:val="KeinLeerraum"/>
        <w:jc w:val="both"/>
        <w:rPr>
          <w:rFonts w:cs="Times New Roman"/>
        </w:rPr>
      </w:pPr>
    </w:p>
    <w:p w:rsidR="0064688B" w:rsidRDefault="0064688B" w:rsidP="006230F9">
      <w:pPr>
        <w:pStyle w:val="KeinLeerraum"/>
        <w:jc w:val="both"/>
        <w:rPr>
          <w:rFonts w:cs="Times New Roman"/>
        </w:rPr>
      </w:pPr>
      <w:r w:rsidRPr="0064688B">
        <w:rPr>
          <w:rFonts w:cs="Times New Roman"/>
        </w:rPr>
        <w:t xml:space="preserve">Mit Urteil vom 27.02.2020 hat das </w:t>
      </w:r>
      <w:r w:rsidRPr="0064688B">
        <w:rPr>
          <w:rFonts w:cs="Times New Roman"/>
          <w:b/>
        </w:rPr>
        <w:t xml:space="preserve">Landgericht Berlin </w:t>
      </w:r>
      <w:r>
        <w:rPr>
          <w:rFonts w:cs="Times New Roman"/>
        </w:rPr>
        <w:t xml:space="preserve">entschieden, </w:t>
      </w:r>
      <w:r w:rsidRPr="0064688B">
        <w:rPr>
          <w:rFonts w:cs="Times New Roman"/>
        </w:rPr>
        <w:t>das</w:t>
      </w:r>
      <w:r>
        <w:rPr>
          <w:rFonts w:cs="Times New Roman"/>
        </w:rPr>
        <w:t>s</w:t>
      </w:r>
      <w:r w:rsidRPr="0064688B">
        <w:rPr>
          <w:rFonts w:cs="Times New Roman"/>
        </w:rPr>
        <w:t xml:space="preserve"> die Parteien eines </w:t>
      </w:r>
      <w:r>
        <w:rPr>
          <w:rFonts w:cs="Times New Roman"/>
        </w:rPr>
        <w:t xml:space="preserve">nach Abschluss des Wohnraummietvertrages  abgeschlossenen </w:t>
      </w:r>
      <w:r w:rsidRPr="0064688B">
        <w:rPr>
          <w:rFonts w:cs="Times New Roman"/>
        </w:rPr>
        <w:t>M</w:t>
      </w:r>
      <w:r>
        <w:rPr>
          <w:rFonts w:cs="Times New Roman"/>
        </w:rPr>
        <w:t>ietvertrages</w:t>
      </w:r>
      <w:r w:rsidRPr="0064688B">
        <w:rPr>
          <w:rFonts w:cs="Times New Roman"/>
        </w:rPr>
        <w:t xml:space="preserve"> über einen Stellplatz ein vom Bestand des Wohnraummietvertrages una</w:t>
      </w:r>
      <w:r>
        <w:rPr>
          <w:rFonts w:cs="Times New Roman"/>
        </w:rPr>
        <w:t xml:space="preserve">bhängiges und isoliert kündbares Mietverhältnis begründen, </w:t>
      </w:r>
      <w:r w:rsidRPr="0064688B">
        <w:rPr>
          <w:rFonts w:cs="Times New Roman"/>
        </w:rPr>
        <w:t xml:space="preserve">wenn </w:t>
      </w:r>
      <w:r>
        <w:rPr>
          <w:rFonts w:cs="Times New Roman"/>
        </w:rPr>
        <w:t>s</w:t>
      </w:r>
      <w:r w:rsidRPr="0064688B">
        <w:rPr>
          <w:rFonts w:cs="Times New Roman"/>
        </w:rPr>
        <w:t>ie die Vermietung des Kfz Stellplatzes in einer gesonderten Urkunde regeln. Dies gilt unter Anwendung der Unklarheitenregelung des § 305c Abs. 2 BGB selbst dann, wenn es sich bei dem Wohnraum-und dem Stellplatzmietvertrag jeweils um vom Vermieter gestellte Allgemeine Geschäftsbedingungen handelt und die Wohnung und der Stellplatz auf demselben Grundstück liegen.</w:t>
      </w:r>
      <w:r>
        <w:rPr>
          <w:rFonts w:cs="Times New Roman"/>
        </w:rPr>
        <w:t xml:space="preserve"> </w:t>
      </w:r>
      <w:r w:rsidRPr="0064688B">
        <w:rPr>
          <w:rFonts w:cs="Times New Roman"/>
        </w:rPr>
        <w:t>Nach Rechtsprechung des BGH spreche bei einem schriftlichen Wohnraummietvertrag und einem separat abgeschlossene Mietvertrag über eine Garage eine tatsächliche Vermutung für die rechtliche Selbstständigkeit der beiden Vereinbarungen. Es bedürfe dann zur Widerlegung dieser Vermutung durch besondere Umstände, welche die Annahme rechtfertigen, dass die Mietverhältnisse über die Wohnung und die Garage nach dem Willen der Beteiligten eine rechtliche Einheit bilden sollen. Allein die Tatsache, dass sich der Stellplatz auf dem Grun</w:t>
      </w:r>
      <w:r>
        <w:rPr>
          <w:rFonts w:cs="Times New Roman"/>
        </w:rPr>
        <w:t>dstück vor dem Wohnungsgrundstück</w:t>
      </w:r>
      <w:r w:rsidRPr="0064688B">
        <w:rPr>
          <w:rFonts w:cs="Times New Roman"/>
        </w:rPr>
        <w:t xml:space="preserve"> der Mietwohnung befindet, reicht hierfür nicht aus. Ein enger rechtlicher und wirtschaftlicher Zusammenhang liegt nicht stets dann vor, wenn die Garage auf demselben Grundstück angemietet werde.</w:t>
      </w:r>
    </w:p>
    <w:p w:rsidR="009B4B7B" w:rsidRDefault="009B4B7B" w:rsidP="006230F9">
      <w:pPr>
        <w:pStyle w:val="KeinLeerraum"/>
        <w:jc w:val="both"/>
        <w:rPr>
          <w:rFonts w:cs="Times New Roman"/>
        </w:rPr>
      </w:pPr>
    </w:p>
    <w:p w:rsidR="009B4B7B" w:rsidRDefault="0064688B" w:rsidP="006230F9">
      <w:pPr>
        <w:pStyle w:val="KeinLeerraum"/>
        <w:jc w:val="both"/>
        <w:rPr>
          <w:rFonts w:cs="Times New Roman"/>
        </w:rPr>
      </w:pPr>
      <w:r w:rsidRPr="0064688B">
        <w:rPr>
          <w:rFonts w:cs="Times New Roman"/>
        </w:rPr>
        <w:t xml:space="preserve">Das </w:t>
      </w:r>
      <w:r w:rsidRPr="0064688B">
        <w:rPr>
          <w:rFonts w:cs="Times New Roman"/>
          <w:b/>
        </w:rPr>
        <w:t>Amtsgericht Dortmund</w:t>
      </w:r>
      <w:r w:rsidRPr="0064688B">
        <w:rPr>
          <w:rFonts w:cs="Times New Roman"/>
        </w:rPr>
        <w:t xml:space="preserve"> hat mit Urteil vom 02.06.2020 entschieden, dass der Verzicht des Vermieters auf das Recht, das Wohnraummietverhältnis wegen Eigenbedarfs zu kündigen, wie der gesamte Mietvertrag der Schriftform bedarf, wenn der Verzicht des Vermieters für länger als ein Jahr gelten soll. Das Schriftformerfordernis ist bereits dann begründet, wenn der Kündigungsausschluss lediglich bestimmte Kündigungsgründe erfassen soll. </w:t>
      </w:r>
    </w:p>
    <w:p w:rsidR="0064688B" w:rsidRDefault="0064688B" w:rsidP="006230F9">
      <w:pPr>
        <w:pStyle w:val="KeinLeerraum"/>
        <w:jc w:val="both"/>
        <w:rPr>
          <w:rFonts w:cs="Times New Roman"/>
        </w:rPr>
      </w:pPr>
    </w:p>
    <w:p w:rsidR="0064688B" w:rsidRDefault="00D23945" w:rsidP="006230F9">
      <w:pPr>
        <w:pStyle w:val="KeinLeerraum"/>
        <w:jc w:val="both"/>
        <w:rPr>
          <w:rFonts w:cs="Times New Roman"/>
        </w:rPr>
      </w:pPr>
      <w:r w:rsidRPr="00D23945">
        <w:rPr>
          <w:rFonts w:cs="Times New Roman"/>
        </w:rPr>
        <w:t xml:space="preserve">Das </w:t>
      </w:r>
      <w:r w:rsidRPr="00D23945">
        <w:rPr>
          <w:rFonts w:cs="Times New Roman"/>
          <w:b/>
        </w:rPr>
        <w:t>Amtsgericht Potsdam</w:t>
      </w:r>
      <w:r w:rsidRPr="00D23945">
        <w:rPr>
          <w:rFonts w:cs="Times New Roman"/>
        </w:rPr>
        <w:t xml:space="preserve"> hat mit Urteil vom 04.06.2020 entschieden, dass die Eigentümer, bevor sie besc</w:t>
      </w:r>
      <w:r w:rsidR="005570D9">
        <w:rPr>
          <w:rFonts w:cs="Times New Roman"/>
        </w:rPr>
        <w:t>hließen, einen Baum zu fällen, k</w:t>
      </w:r>
      <w:bookmarkStart w:id="0" w:name="_GoBack"/>
      <w:bookmarkEnd w:id="0"/>
      <w:r w:rsidRPr="00D23945">
        <w:rPr>
          <w:rFonts w:cs="Times New Roman"/>
        </w:rPr>
        <w:t>lären müssen, ob es weniger einschneidende Maßnahmen gibt, um den Baum zu erhalten, und ob dies dann erwünscht ist</w:t>
      </w:r>
      <w:r>
        <w:rPr>
          <w:rFonts w:cs="Times New Roman"/>
        </w:rPr>
        <w:t>.</w:t>
      </w:r>
    </w:p>
    <w:p w:rsidR="00D23945" w:rsidRDefault="00D23945" w:rsidP="006230F9">
      <w:pPr>
        <w:pStyle w:val="KeinLeerraum"/>
        <w:jc w:val="both"/>
        <w:rPr>
          <w:rFonts w:cs="Times New Roman"/>
        </w:rPr>
      </w:pPr>
    </w:p>
    <w:p w:rsidR="00D23945" w:rsidRDefault="00D23945" w:rsidP="006230F9">
      <w:pPr>
        <w:pStyle w:val="KeinLeerraum"/>
        <w:jc w:val="both"/>
        <w:rPr>
          <w:rFonts w:cs="Times New Roman"/>
        </w:rPr>
      </w:pPr>
    </w:p>
    <w:p w:rsidR="001942BA" w:rsidRDefault="001942BA" w:rsidP="006230F9">
      <w:pPr>
        <w:pStyle w:val="KeinLeerraum"/>
        <w:jc w:val="both"/>
        <w:rPr>
          <w:rFonts w:cs="Times New Roman"/>
        </w:rPr>
      </w:pPr>
    </w:p>
    <w:p w:rsidR="00564EBC" w:rsidRDefault="00564EBC" w:rsidP="00F16BD1">
      <w:pPr>
        <w:pStyle w:val="KeinLeerraum"/>
        <w:jc w:val="both"/>
        <w:rPr>
          <w:rFonts w:cs="Times New Roman"/>
        </w:rPr>
      </w:pPr>
    </w:p>
    <w:p w:rsidR="00564EBC" w:rsidRDefault="00564EBC" w:rsidP="00F16BD1">
      <w:pPr>
        <w:pStyle w:val="KeinLeerraum"/>
        <w:jc w:val="both"/>
        <w:rPr>
          <w:rFonts w:cs="Times New Roman"/>
        </w:rPr>
      </w:pPr>
    </w:p>
    <w:p w:rsidR="007C427B" w:rsidRDefault="00655F43" w:rsidP="00F16BD1">
      <w:pPr>
        <w:pStyle w:val="KeinLeerraum"/>
        <w:jc w:val="both"/>
        <w:rPr>
          <w:rFonts w:cs="Times New Roman"/>
        </w:rPr>
      </w:pPr>
      <w:r w:rsidRPr="00655F43">
        <w:rPr>
          <w:rFonts w:cs="Times New Roman"/>
        </w:rPr>
        <w:t xml:space="preserve">Verpflichtet. Verpflichtet. verpflichtet. zum Ersatz der hieraus entstandenen Schäden verpflichtet. </w:t>
      </w:r>
      <w:r w:rsidR="00422D09" w:rsidRPr="00421B19">
        <w:rPr>
          <w:noProof/>
          <w:lang w:eastAsia="de-DE"/>
        </w:rPr>
        <mc:AlternateContent>
          <mc:Choice Requires="wps">
            <w:drawing>
              <wp:anchor distT="0" distB="0" distL="114300" distR="114300" simplePos="0" relativeHeight="251662848" behindDoc="0" locked="0" layoutInCell="1" allowOverlap="1" wp14:anchorId="16665136" wp14:editId="6E463073">
                <wp:simplePos x="0" y="0"/>
                <wp:positionH relativeFrom="column">
                  <wp:posOffset>-18161</wp:posOffset>
                </wp:positionH>
                <wp:positionV relativeFrom="paragraph">
                  <wp:posOffset>31191</wp:posOffset>
                </wp:positionV>
                <wp:extent cx="2660650" cy="2487168"/>
                <wp:effectExtent l="0" t="0" r="25400" b="2794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2487168"/>
                        </a:xfrm>
                        <a:prstGeom prst="rect">
                          <a:avLst/>
                        </a:prstGeom>
                        <a:solidFill>
                          <a:srgbClr val="FFFFFF"/>
                        </a:solidFill>
                        <a:ln w="9525">
                          <a:solidFill>
                            <a:srgbClr val="000000"/>
                          </a:solidFill>
                          <a:miter lim="800000"/>
                          <a:headEnd/>
                          <a:tailEnd/>
                        </a:ln>
                      </wps:spPr>
                      <wps:txb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665136" id="_x0000_s1027" type="#_x0000_t202" style="position:absolute;left:0;text-align:left;margin-left:-1.45pt;margin-top:2.45pt;width:209.5pt;height:195.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">
                <v:textbox>
                  <w:txbxContent>
                    <w:p w:rsidR="001E5344" w:rsidRDefault="001E5344" w:rsidP="001E5344">
                      <w:pPr>
                        <w:spacing w:after="0" w:line="240" w:lineRule="auto"/>
                        <w:jc w:val="center"/>
                        <w:rPr>
                          <w:rFonts w:ascii="Copperplate33BC" w:hAnsi="Copperplate33BC"/>
                        </w:rPr>
                      </w:pPr>
                      <w:r>
                        <w:rPr>
                          <w:rFonts w:ascii="Copperplate33BC" w:hAnsi="Copperplate33BC"/>
                        </w:rPr>
                        <w:t>Luithlen  &amp;  v. Stackelberg</w:t>
                      </w:r>
                    </w:p>
                    <w:p w:rsidR="001E5344" w:rsidRDefault="001E5344" w:rsidP="001E5344">
                      <w:pPr>
                        <w:spacing w:after="0" w:line="240" w:lineRule="auto"/>
                        <w:jc w:val="center"/>
                        <w:rPr>
                          <w:rFonts w:ascii="Copperplate32BC" w:hAnsi="Copperplate32BC"/>
                          <w:sz w:val="20"/>
                        </w:rPr>
                      </w:pPr>
                      <w:r w:rsidRPr="00C56C01">
                        <w:rPr>
                          <w:rFonts w:ascii="Copperplate32BC" w:hAnsi="Copperplate32BC"/>
                          <w:sz w:val="20"/>
                        </w:rPr>
                        <w:t>Rechtsanwälte</w:t>
                      </w:r>
                    </w:p>
                    <w:p w:rsidR="00471137" w:rsidRPr="00C56C01" w:rsidRDefault="00471137" w:rsidP="001E5344">
                      <w:pPr>
                        <w:spacing w:after="0" w:line="240" w:lineRule="auto"/>
                        <w:jc w:val="center"/>
                        <w:rPr>
                          <w:rFonts w:ascii="Copperplate32BC" w:hAnsi="Copperplate32BC"/>
                          <w:sz w:val="20"/>
                        </w:rPr>
                      </w:pPr>
                    </w:p>
                    <w:p w:rsidR="001E5344" w:rsidRPr="00C56C01" w:rsidRDefault="001E5344" w:rsidP="001E5344">
                      <w:pPr>
                        <w:spacing w:after="0" w:line="240" w:lineRule="auto"/>
                        <w:rPr>
                          <w:rFonts w:ascii="Copperplate32BC" w:hAnsi="Copperplate32BC"/>
                          <w:sz w:val="16"/>
                        </w:rPr>
                      </w:pPr>
                    </w:p>
                    <w:p w:rsidR="001E5344" w:rsidRPr="00687B22" w:rsidRDefault="001E5344" w:rsidP="001E5344">
                      <w:pPr>
                        <w:spacing w:after="0" w:line="120" w:lineRule="exact"/>
                        <w:rPr>
                          <w:rFonts w:cs="Times New Roman"/>
                          <w:sz w:val="16"/>
                        </w:rPr>
                      </w:pPr>
                      <w:r w:rsidRPr="00687B22">
                        <w:rPr>
                          <w:rFonts w:cs="Times New Roman"/>
                          <w:sz w:val="16"/>
                        </w:rPr>
                        <w:t>Dr. Jens Becker Platen</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Sozialrecht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Michaela Schmidt-Eberth</w:t>
                      </w:r>
                    </w:p>
                    <w:p w:rsidR="001E5344" w:rsidRDefault="001E5344" w:rsidP="001E5344">
                      <w:pPr>
                        <w:spacing w:after="0" w:line="120" w:lineRule="exact"/>
                        <w:rPr>
                          <w:rFonts w:cs="Times New Roman"/>
                          <w:sz w:val="12"/>
                        </w:rPr>
                      </w:pPr>
                      <w:r w:rsidRPr="00687B22">
                        <w:rPr>
                          <w:rFonts w:cs="Times New Roman"/>
                          <w:sz w:val="12"/>
                        </w:rPr>
                        <w:t xml:space="preserve">        Rechtsanwältin, Fachanwältin für Familien- und Strafrecht, Mediatorin</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Michael Hopp</w:t>
                      </w:r>
                    </w:p>
                    <w:p w:rsidR="001E5344" w:rsidRDefault="001E5344" w:rsidP="001E5344">
                      <w:pPr>
                        <w:spacing w:after="0" w:line="120" w:lineRule="exact"/>
                        <w:rPr>
                          <w:rFonts w:cs="Times New Roman"/>
                          <w:sz w:val="12"/>
                        </w:rPr>
                      </w:pPr>
                      <w:r w:rsidRPr="00687B22">
                        <w:rPr>
                          <w:rFonts w:cs="Times New Roman"/>
                          <w:sz w:val="12"/>
                        </w:rPr>
                        <w:t xml:space="preserve">        Rechtsanwalt, Fachanwalt für Erbrecht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240" w:lineRule="auto"/>
                        <w:rPr>
                          <w:rFonts w:cs="Times New Roman"/>
                          <w:sz w:val="6"/>
                        </w:rPr>
                      </w:pPr>
                    </w:p>
                    <w:p w:rsidR="001E5344" w:rsidRPr="00687B22" w:rsidRDefault="001E5344" w:rsidP="001E5344">
                      <w:pPr>
                        <w:spacing w:after="0" w:line="120" w:lineRule="exact"/>
                        <w:rPr>
                          <w:rFonts w:cs="Times New Roman"/>
                          <w:sz w:val="16"/>
                        </w:rPr>
                      </w:pPr>
                      <w:r w:rsidRPr="00687B22">
                        <w:rPr>
                          <w:rFonts w:cs="Times New Roman"/>
                          <w:sz w:val="16"/>
                        </w:rPr>
                        <w:t>Heinrich Frhr. v. Stackelberg</w:t>
                      </w:r>
                    </w:p>
                    <w:p w:rsidR="001E5344"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120" w:lineRule="exact"/>
                        <w:rPr>
                          <w:rFonts w:cs="Times New Roman"/>
                          <w:sz w:val="12"/>
                        </w:rPr>
                      </w:pPr>
                    </w:p>
                    <w:p w:rsidR="001E5344" w:rsidRPr="00687B22" w:rsidRDefault="001E5344" w:rsidP="001E5344">
                      <w:pPr>
                        <w:spacing w:after="0" w:line="120" w:lineRule="exact"/>
                        <w:rPr>
                          <w:rFonts w:cs="Times New Roman"/>
                          <w:sz w:val="6"/>
                        </w:rPr>
                      </w:pPr>
                    </w:p>
                    <w:p w:rsidR="001E5344" w:rsidRPr="00687B22" w:rsidRDefault="001E5344" w:rsidP="001E5344">
                      <w:pPr>
                        <w:spacing w:after="0" w:line="120" w:lineRule="exact"/>
                        <w:rPr>
                          <w:rFonts w:cs="Times New Roman"/>
                        </w:rPr>
                      </w:pPr>
                      <w:r w:rsidRPr="00687B22">
                        <w:rPr>
                          <w:rFonts w:cs="Times New Roman"/>
                          <w:sz w:val="16"/>
                        </w:rPr>
                        <w:t>Thomas Luithlen</w:t>
                      </w:r>
                    </w:p>
                    <w:p w:rsidR="001E5344" w:rsidRPr="00687B22" w:rsidRDefault="001E5344" w:rsidP="001E5344">
                      <w:pPr>
                        <w:spacing w:after="0" w:line="120" w:lineRule="exact"/>
                        <w:rPr>
                          <w:rFonts w:cs="Times New Roman"/>
                          <w:sz w:val="12"/>
                        </w:rPr>
                      </w:pPr>
                      <w:r w:rsidRPr="00687B22">
                        <w:rPr>
                          <w:rFonts w:cs="Times New Roman"/>
                          <w:sz w:val="12"/>
                        </w:rPr>
                        <w:t xml:space="preserve">        Rechtsanwalt</w:t>
                      </w:r>
                    </w:p>
                    <w:p w:rsidR="001E5344" w:rsidRPr="00687B22" w:rsidRDefault="001E5344" w:rsidP="001E5344">
                      <w:pPr>
                        <w:spacing w:after="0" w:line="240" w:lineRule="auto"/>
                        <w:rPr>
                          <w:rFonts w:cs="Times New Roman"/>
                          <w:sz w:val="14"/>
                        </w:rPr>
                      </w:pPr>
                    </w:p>
                    <w:p w:rsidR="001E5344" w:rsidRPr="00687B22" w:rsidRDefault="001E5344" w:rsidP="001E5344">
                      <w:pPr>
                        <w:spacing w:after="0" w:line="240" w:lineRule="auto"/>
                        <w:jc w:val="center"/>
                        <w:rPr>
                          <w:rFonts w:cs="Times New Roman"/>
                          <w:sz w:val="16"/>
                        </w:rPr>
                      </w:pPr>
                      <w:r w:rsidRPr="00687B22">
                        <w:rPr>
                          <w:rFonts w:cs="Times New Roman"/>
                          <w:sz w:val="16"/>
                        </w:rPr>
                        <w:t>Karl-Lederer-Platz 13,   82538 Geretsried</w:t>
                      </w:r>
                    </w:p>
                    <w:p w:rsidR="001E5344" w:rsidRPr="00687B22" w:rsidRDefault="001E5344" w:rsidP="001E5344">
                      <w:pPr>
                        <w:spacing w:after="0" w:line="240" w:lineRule="auto"/>
                        <w:jc w:val="center"/>
                        <w:rPr>
                          <w:rFonts w:cs="Times New Roman"/>
                          <w:sz w:val="16"/>
                        </w:rPr>
                      </w:pPr>
                      <w:r w:rsidRPr="00687B22">
                        <w:rPr>
                          <w:rFonts w:cs="Times New Roman"/>
                          <w:sz w:val="16"/>
                        </w:rPr>
                        <w:t>Tel.: 08171 – 93 99 3   Fax: 08171 – 93 99 50</w:t>
                      </w:r>
                    </w:p>
                    <w:p w:rsidR="001E5344" w:rsidRPr="00687B22" w:rsidRDefault="001E5344" w:rsidP="001E5344">
                      <w:pPr>
                        <w:spacing w:after="0" w:line="240" w:lineRule="auto"/>
                        <w:jc w:val="center"/>
                        <w:rPr>
                          <w:rFonts w:cs="Times New Roman"/>
                          <w:sz w:val="16"/>
                        </w:rPr>
                      </w:pPr>
                      <w:r w:rsidRPr="00687B22">
                        <w:rPr>
                          <w:rFonts w:cs="Times New Roman"/>
                          <w:sz w:val="16"/>
                        </w:rPr>
                        <w:t>www.luithlen-stackelberg.de</w:t>
                      </w:r>
                    </w:p>
                  </w:txbxContent>
                </v:textbox>
              </v:shape>
            </w:pict>
          </mc:Fallback>
        </mc:AlternateContent>
      </w: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41131A" w:rsidRDefault="0041131A"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Default="007C427B" w:rsidP="00F16BD1">
      <w:pPr>
        <w:pStyle w:val="KeinLeerraum"/>
        <w:jc w:val="both"/>
        <w:rPr>
          <w:rFonts w:cs="Times New Roman"/>
        </w:rPr>
      </w:pPr>
    </w:p>
    <w:p w:rsidR="007C427B" w:rsidRPr="0041131A" w:rsidRDefault="007C427B" w:rsidP="00F16BD1">
      <w:pPr>
        <w:pStyle w:val="KeinLeerraum"/>
        <w:jc w:val="both"/>
        <w:rPr>
          <w:rFonts w:cs="Times New Roman"/>
        </w:rPr>
      </w:pPr>
    </w:p>
    <w:p w:rsidR="001E5344" w:rsidRDefault="001E5344" w:rsidP="00F16BD1">
      <w:pPr>
        <w:pStyle w:val="KeinLeerraum"/>
        <w:jc w:val="both"/>
        <w:rPr>
          <w:rFonts w:cs="Times New Roman"/>
        </w:rPr>
      </w:pPr>
    </w:p>
    <w:sectPr w:rsidR="001E5344" w:rsidSect="00107AE4">
      <w:pgSz w:w="11906" w:h="16838"/>
      <w:pgMar w:top="1417" w:right="1417" w:bottom="1134" w:left="1417" w:header="708" w:footer="708" w:gutter="0"/>
      <w:pgBorders w:offsetFrom="page">
        <w:top w:val="single" w:sz="12" w:space="24" w:color="auto"/>
        <w:left w:val="single" w:sz="12" w:space="24" w:color="auto"/>
        <w:bottom w:val="single" w:sz="12" w:space="24" w:color="auto"/>
        <w:right w:val="single" w:sz="12" w:space="24" w:color="auto"/>
      </w:pgBorders>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pperplate33BC">
    <w:panose1 w:val="00000500000000000000"/>
    <w:charset w:val="00"/>
    <w:family w:val="roman"/>
    <w:notTrueType/>
    <w:pitch w:val="variable"/>
    <w:sig w:usb0="00000003" w:usb1="00000000" w:usb2="00000000" w:usb3="00000000" w:csb0="00000001" w:csb1="00000000"/>
  </w:font>
  <w:font w:name="Copperplate32BC">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00BF"/>
    <w:multiLevelType w:val="multilevel"/>
    <w:tmpl w:val="A666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1E7C51"/>
    <w:multiLevelType w:val="hybridMultilevel"/>
    <w:tmpl w:val="838891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510572A"/>
    <w:multiLevelType w:val="hybridMultilevel"/>
    <w:tmpl w:val="D17C2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A1E"/>
    <w:rsid w:val="0000539D"/>
    <w:rsid w:val="00012FB5"/>
    <w:rsid w:val="00023589"/>
    <w:rsid w:val="00030C57"/>
    <w:rsid w:val="00037A29"/>
    <w:rsid w:val="00041914"/>
    <w:rsid w:val="000460E5"/>
    <w:rsid w:val="00051F36"/>
    <w:rsid w:val="00052640"/>
    <w:rsid w:val="00054BE3"/>
    <w:rsid w:val="000557B2"/>
    <w:rsid w:val="0005639D"/>
    <w:rsid w:val="0005726D"/>
    <w:rsid w:val="0006078E"/>
    <w:rsid w:val="0006423F"/>
    <w:rsid w:val="0006635C"/>
    <w:rsid w:val="000669C3"/>
    <w:rsid w:val="00077791"/>
    <w:rsid w:val="000874D5"/>
    <w:rsid w:val="00093902"/>
    <w:rsid w:val="000A022A"/>
    <w:rsid w:val="000A4194"/>
    <w:rsid w:val="000A7DE0"/>
    <w:rsid w:val="000B22A0"/>
    <w:rsid w:val="000B46AE"/>
    <w:rsid w:val="000B50DC"/>
    <w:rsid w:val="000C477F"/>
    <w:rsid w:val="000C6C0A"/>
    <w:rsid w:val="000E1FE5"/>
    <w:rsid w:val="000E41B8"/>
    <w:rsid w:val="000E5115"/>
    <w:rsid w:val="000F0CA3"/>
    <w:rsid w:val="000F1727"/>
    <w:rsid w:val="000F4FD9"/>
    <w:rsid w:val="00100EB4"/>
    <w:rsid w:val="00101E98"/>
    <w:rsid w:val="00107AE4"/>
    <w:rsid w:val="00111066"/>
    <w:rsid w:val="0011246D"/>
    <w:rsid w:val="00112CFD"/>
    <w:rsid w:val="00124835"/>
    <w:rsid w:val="0013254E"/>
    <w:rsid w:val="00134C7F"/>
    <w:rsid w:val="001375AE"/>
    <w:rsid w:val="00140F8A"/>
    <w:rsid w:val="00141F2D"/>
    <w:rsid w:val="00162CAC"/>
    <w:rsid w:val="00174475"/>
    <w:rsid w:val="001745A0"/>
    <w:rsid w:val="00175CBB"/>
    <w:rsid w:val="001815DE"/>
    <w:rsid w:val="00186245"/>
    <w:rsid w:val="001942BA"/>
    <w:rsid w:val="00196A92"/>
    <w:rsid w:val="001A4642"/>
    <w:rsid w:val="001A57EF"/>
    <w:rsid w:val="001A7722"/>
    <w:rsid w:val="001B27FD"/>
    <w:rsid w:val="001B2F23"/>
    <w:rsid w:val="001B6576"/>
    <w:rsid w:val="001C1780"/>
    <w:rsid w:val="001E1622"/>
    <w:rsid w:val="001E1FDB"/>
    <w:rsid w:val="001E4E3A"/>
    <w:rsid w:val="001E5344"/>
    <w:rsid w:val="001E5925"/>
    <w:rsid w:val="001F5A84"/>
    <w:rsid w:val="002004DE"/>
    <w:rsid w:val="00201A3E"/>
    <w:rsid w:val="00202F29"/>
    <w:rsid w:val="002134DA"/>
    <w:rsid w:val="00214473"/>
    <w:rsid w:val="0021540D"/>
    <w:rsid w:val="00215460"/>
    <w:rsid w:val="002205F8"/>
    <w:rsid w:val="0022136B"/>
    <w:rsid w:val="0022361D"/>
    <w:rsid w:val="00230551"/>
    <w:rsid w:val="00232F4F"/>
    <w:rsid w:val="00236A45"/>
    <w:rsid w:val="002370DE"/>
    <w:rsid w:val="00256516"/>
    <w:rsid w:val="00264863"/>
    <w:rsid w:val="00265A05"/>
    <w:rsid w:val="00271141"/>
    <w:rsid w:val="00294681"/>
    <w:rsid w:val="002A1EF2"/>
    <w:rsid w:val="002A7469"/>
    <w:rsid w:val="002A7A9D"/>
    <w:rsid w:val="002B4C94"/>
    <w:rsid w:val="002C4D08"/>
    <w:rsid w:val="002D4B52"/>
    <w:rsid w:val="002E0B91"/>
    <w:rsid w:val="003001E5"/>
    <w:rsid w:val="00301F0E"/>
    <w:rsid w:val="0030310E"/>
    <w:rsid w:val="003076C1"/>
    <w:rsid w:val="00310591"/>
    <w:rsid w:val="00311678"/>
    <w:rsid w:val="003137BB"/>
    <w:rsid w:val="00314880"/>
    <w:rsid w:val="0032057B"/>
    <w:rsid w:val="0032308D"/>
    <w:rsid w:val="00324729"/>
    <w:rsid w:val="00326D33"/>
    <w:rsid w:val="003278EC"/>
    <w:rsid w:val="00327D32"/>
    <w:rsid w:val="00333BA2"/>
    <w:rsid w:val="00336775"/>
    <w:rsid w:val="00344EA1"/>
    <w:rsid w:val="0034564B"/>
    <w:rsid w:val="003522CD"/>
    <w:rsid w:val="0035647B"/>
    <w:rsid w:val="00360D25"/>
    <w:rsid w:val="00364A9D"/>
    <w:rsid w:val="00376F02"/>
    <w:rsid w:val="003805D4"/>
    <w:rsid w:val="003821D7"/>
    <w:rsid w:val="00385F93"/>
    <w:rsid w:val="00386426"/>
    <w:rsid w:val="00391243"/>
    <w:rsid w:val="003A3D51"/>
    <w:rsid w:val="003A4136"/>
    <w:rsid w:val="003A6384"/>
    <w:rsid w:val="003A66B3"/>
    <w:rsid w:val="003B068A"/>
    <w:rsid w:val="003B252E"/>
    <w:rsid w:val="003B2E5F"/>
    <w:rsid w:val="003B3EEB"/>
    <w:rsid w:val="003B4443"/>
    <w:rsid w:val="003B5986"/>
    <w:rsid w:val="003C3731"/>
    <w:rsid w:val="003D006E"/>
    <w:rsid w:val="003D22CC"/>
    <w:rsid w:val="003D7858"/>
    <w:rsid w:val="003E1559"/>
    <w:rsid w:val="003E59C5"/>
    <w:rsid w:val="003F171B"/>
    <w:rsid w:val="003F79AF"/>
    <w:rsid w:val="004048FD"/>
    <w:rsid w:val="00406D4F"/>
    <w:rsid w:val="0041131A"/>
    <w:rsid w:val="00421B19"/>
    <w:rsid w:val="00422D09"/>
    <w:rsid w:val="004310C9"/>
    <w:rsid w:val="00452DD5"/>
    <w:rsid w:val="00456F6B"/>
    <w:rsid w:val="00457C17"/>
    <w:rsid w:val="00463FF8"/>
    <w:rsid w:val="004643D5"/>
    <w:rsid w:val="00466682"/>
    <w:rsid w:val="00471137"/>
    <w:rsid w:val="00475064"/>
    <w:rsid w:val="00475C68"/>
    <w:rsid w:val="004850BB"/>
    <w:rsid w:val="004853B0"/>
    <w:rsid w:val="00493550"/>
    <w:rsid w:val="004937AC"/>
    <w:rsid w:val="004B2D14"/>
    <w:rsid w:val="004C6668"/>
    <w:rsid w:val="004E212C"/>
    <w:rsid w:val="004E2E95"/>
    <w:rsid w:val="004E5B6E"/>
    <w:rsid w:val="004F041F"/>
    <w:rsid w:val="004F0F1C"/>
    <w:rsid w:val="004F3F15"/>
    <w:rsid w:val="004F4D47"/>
    <w:rsid w:val="005027C3"/>
    <w:rsid w:val="00504CA6"/>
    <w:rsid w:val="005177A4"/>
    <w:rsid w:val="005226BB"/>
    <w:rsid w:val="00523B4D"/>
    <w:rsid w:val="005247B6"/>
    <w:rsid w:val="0054066F"/>
    <w:rsid w:val="00542A18"/>
    <w:rsid w:val="00545294"/>
    <w:rsid w:val="00551ADB"/>
    <w:rsid w:val="00552B5C"/>
    <w:rsid w:val="005567C3"/>
    <w:rsid w:val="005570D9"/>
    <w:rsid w:val="00564EBC"/>
    <w:rsid w:val="00566C7E"/>
    <w:rsid w:val="005671A6"/>
    <w:rsid w:val="00570F3B"/>
    <w:rsid w:val="00573F33"/>
    <w:rsid w:val="005754BD"/>
    <w:rsid w:val="005779EB"/>
    <w:rsid w:val="00577F14"/>
    <w:rsid w:val="0058003F"/>
    <w:rsid w:val="0058014E"/>
    <w:rsid w:val="00582153"/>
    <w:rsid w:val="005927E9"/>
    <w:rsid w:val="0059626E"/>
    <w:rsid w:val="005B308C"/>
    <w:rsid w:val="005B4907"/>
    <w:rsid w:val="005B71F4"/>
    <w:rsid w:val="005C31E1"/>
    <w:rsid w:val="005C553D"/>
    <w:rsid w:val="005D13B1"/>
    <w:rsid w:val="005E1A6E"/>
    <w:rsid w:val="005E1A86"/>
    <w:rsid w:val="005E7A6B"/>
    <w:rsid w:val="00605856"/>
    <w:rsid w:val="006102C1"/>
    <w:rsid w:val="006106D6"/>
    <w:rsid w:val="006209B9"/>
    <w:rsid w:val="006230F9"/>
    <w:rsid w:val="00623201"/>
    <w:rsid w:val="00634308"/>
    <w:rsid w:val="006361D2"/>
    <w:rsid w:val="0064187C"/>
    <w:rsid w:val="0064688B"/>
    <w:rsid w:val="00655F43"/>
    <w:rsid w:val="0065677F"/>
    <w:rsid w:val="00657ECD"/>
    <w:rsid w:val="00671966"/>
    <w:rsid w:val="00680628"/>
    <w:rsid w:val="00686F3A"/>
    <w:rsid w:val="00687B22"/>
    <w:rsid w:val="0069034D"/>
    <w:rsid w:val="006925CB"/>
    <w:rsid w:val="00697F68"/>
    <w:rsid w:val="006B28C0"/>
    <w:rsid w:val="006B6F81"/>
    <w:rsid w:val="006C63AC"/>
    <w:rsid w:val="006C7730"/>
    <w:rsid w:val="006D5A1E"/>
    <w:rsid w:val="006D5D8C"/>
    <w:rsid w:val="006E7255"/>
    <w:rsid w:val="006E7EE6"/>
    <w:rsid w:val="007156B8"/>
    <w:rsid w:val="00722716"/>
    <w:rsid w:val="007304B9"/>
    <w:rsid w:val="0073400C"/>
    <w:rsid w:val="0075664B"/>
    <w:rsid w:val="00761A87"/>
    <w:rsid w:val="00763C22"/>
    <w:rsid w:val="00764BE7"/>
    <w:rsid w:val="0076545E"/>
    <w:rsid w:val="00766E60"/>
    <w:rsid w:val="00770CD4"/>
    <w:rsid w:val="00773E7C"/>
    <w:rsid w:val="00776757"/>
    <w:rsid w:val="00776EB2"/>
    <w:rsid w:val="00777989"/>
    <w:rsid w:val="0078104E"/>
    <w:rsid w:val="007858A6"/>
    <w:rsid w:val="00792404"/>
    <w:rsid w:val="007961AB"/>
    <w:rsid w:val="007A21D0"/>
    <w:rsid w:val="007A6705"/>
    <w:rsid w:val="007B1699"/>
    <w:rsid w:val="007B4EB6"/>
    <w:rsid w:val="007C427B"/>
    <w:rsid w:val="007D2F4F"/>
    <w:rsid w:val="007D3142"/>
    <w:rsid w:val="007D431F"/>
    <w:rsid w:val="007D54F5"/>
    <w:rsid w:val="007E06A0"/>
    <w:rsid w:val="007E1245"/>
    <w:rsid w:val="007E2B24"/>
    <w:rsid w:val="007E4EC5"/>
    <w:rsid w:val="007E53D0"/>
    <w:rsid w:val="007E5DE4"/>
    <w:rsid w:val="007E7331"/>
    <w:rsid w:val="007F1514"/>
    <w:rsid w:val="007F1946"/>
    <w:rsid w:val="007F20B5"/>
    <w:rsid w:val="007F2310"/>
    <w:rsid w:val="007F27F9"/>
    <w:rsid w:val="00806753"/>
    <w:rsid w:val="00807875"/>
    <w:rsid w:val="0081560A"/>
    <w:rsid w:val="00816624"/>
    <w:rsid w:val="00817E91"/>
    <w:rsid w:val="00821E57"/>
    <w:rsid w:val="008263CC"/>
    <w:rsid w:val="0082772A"/>
    <w:rsid w:val="008420B0"/>
    <w:rsid w:val="008464B3"/>
    <w:rsid w:val="0085589B"/>
    <w:rsid w:val="00857A7D"/>
    <w:rsid w:val="008648B0"/>
    <w:rsid w:val="00876F85"/>
    <w:rsid w:val="008802A9"/>
    <w:rsid w:val="00881F6B"/>
    <w:rsid w:val="00885A97"/>
    <w:rsid w:val="00890A5D"/>
    <w:rsid w:val="0089266F"/>
    <w:rsid w:val="00895F98"/>
    <w:rsid w:val="00896D84"/>
    <w:rsid w:val="00896D85"/>
    <w:rsid w:val="008A1505"/>
    <w:rsid w:val="008A25EE"/>
    <w:rsid w:val="008D3683"/>
    <w:rsid w:val="008D4863"/>
    <w:rsid w:val="008D7AD3"/>
    <w:rsid w:val="008E1688"/>
    <w:rsid w:val="008F6FB7"/>
    <w:rsid w:val="00900652"/>
    <w:rsid w:val="00901C06"/>
    <w:rsid w:val="00907E5D"/>
    <w:rsid w:val="00912E33"/>
    <w:rsid w:val="00916581"/>
    <w:rsid w:val="009209B4"/>
    <w:rsid w:val="00927643"/>
    <w:rsid w:val="009360D0"/>
    <w:rsid w:val="00941952"/>
    <w:rsid w:val="00942C61"/>
    <w:rsid w:val="00946D50"/>
    <w:rsid w:val="009578BB"/>
    <w:rsid w:val="00970543"/>
    <w:rsid w:val="009741B1"/>
    <w:rsid w:val="00982D96"/>
    <w:rsid w:val="00983385"/>
    <w:rsid w:val="00983E19"/>
    <w:rsid w:val="009865A6"/>
    <w:rsid w:val="00991104"/>
    <w:rsid w:val="009925EF"/>
    <w:rsid w:val="00994BA8"/>
    <w:rsid w:val="00995261"/>
    <w:rsid w:val="00996E43"/>
    <w:rsid w:val="009A334A"/>
    <w:rsid w:val="009A5D8D"/>
    <w:rsid w:val="009B23B8"/>
    <w:rsid w:val="009B48D7"/>
    <w:rsid w:val="009B4B7B"/>
    <w:rsid w:val="009B62EF"/>
    <w:rsid w:val="009C1151"/>
    <w:rsid w:val="009C21B2"/>
    <w:rsid w:val="009C59AB"/>
    <w:rsid w:val="009D717F"/>
    <w:rsid w:val="009E27FB"/>
    <w:rsid w:val="009E3F68"/>
    <w:rsid w:val="00A00F63"/>
    <w:rsid w:val="00A01125"/>
    <w:rsid w:val="00A07AEB"/>
    <w:rsid w:val="00A233C0"/>
    <w:rsid w:val="00A2440B"/>
    <w:rsid w:val="00A266BF"/>
    <w:rsid w:val="00A4659F"/>
    <w:rsid w:val="00A54602"/>
    <w:rsid w:val="00A54F86"/>
    <w:rsid w:val="00A563F1"/>
    <w:rsid w:val="00A66F4F"/>
    <w:rsid w:val="00A70069"/>
    <w:rsid w:val="00A81434"/>
    <w:rsid w:val="00AA3329"/>
    <w:rsid w:val="00AB23E5"/>
    <w:rsid w:val="00AC2CC8"/>
    <w:rsid w:val="00AC56AF"/>
    <w:rsid w:val="00AD00D9"/>
    <w:rsid w:val="00AD4FAB"/>
    <w:rsid w:val="00AF57D7"/>
    <w:rsid w:val="00AF6168"/>
    <w:rsid w:val="00AF6CAB"/>
    <w:rsid w:val="00B023C7"/>
    <w:rsid w:val="00B0347A"/>
    <w:rsid w:val="00B0503C"/>
    <w:rsid w:val="00B053D4"/>
    <w:rsid w:val="00B13894"/>
    <w:rsid w:val="00B14FD5"/>
    <w:rsid w:val="00B15A92"/>
    <w:rsid w:val="00B15C9E"/>
    <w:rsid w:val="00B203F4"/>
    <w:rsid w:val="00B24EB7"/>
    <w:rsid w:val="00B30D91"/>
    <w:rsid w:val="00B31651"/>
    <w:rsid w:val="00B3173C"/>
    <w:rsid w:val="00B3690C"/>
    <w:rsid w:val="00B36A2F"/>
    <w:rsid w:val="00B40FB0"/>
    <w:rsid w:val="00B41385"/>
    <w:rsid w:val="00B42ABB"/>
    <w:rsid w:val="00B43FC1"/>
    <w:rsid w:val="00B451E9"/>
    <w:rsid w:val="00B500FC"/>
    <w:rsid w:val="00B62C37"/>
    <w:rsid w:val="00B673DC"/>
    <w:rsid w:val="00B770FE"/>
    <w:rsid w:val="00B7792E"/>
    <w:rsid w:val="00B80D2C"/>
    <w:rsid w:val="00B86A3D"/>
    <w:rsid w:val="00B91F93"/>
    <w:rsid w:val="00B9411E"/>
    <w:rsid w:val="00B94803"/>
    <w:rsid w:val="00B97642"/>
    <w:rsid w:val="00BA4932"/>
    <w:rsid w:val="00BB407C"/>
    <w:rsid w:val="00BB67EB"/>
    <w:rsid w:val="00BD550B"/>
    <w:rsid w:val="00BD67DE"/>
    <w:rsid w:val="00BE1AB1"/>
    <w:rsid w:val="00BE6120"/>
    <w:rsid w:val="00BE7524"/>
    <w:rsid w:val="00BF0529"/>
    <w:rsid w:val="00BF43FA"/>
    <w:rsid w:val="00BF58D0"/>
    <w:rsid w:val="00C00761"/>
    <w:rsid w:val="00C00B2E"/>
    <w:rsid w:val="00C02FCF"/>
    <w:rsid w:val="00C03ED6"/>
    <w:rsid w:val="00C05380"/>
    <w:rsid w:val="00C07B05"/>
    <w:rsid w:val="00C13097"/>
    <w:rsid w:val="00C162CD"/>
    <w:rsid w:val="00C251B4"/>
    <w:rsid w:val="00C25EE4"/>
    <w:rsid w:val="00C26CC3"/>
    <w:rsid w:val="00C27C6E"/>
    <w:rsid w:val="00C41029"/>
    <w:rsid w:val="00C446AF"/>
    <w:rsid w:val="00C46943"/>
    <w:rsid w:val="00C548FB"/>
    <w:rsid w:val="00C624F1"/>
    <w:rsid w:val="00C63C81"/>
    <w:rsid w:val="00C66441"/>
    <w:rsid w:val="00C6761E"/>
    <w:rsid w:val="00C72F01"/>
    <w:rsid w:val="00C7662F"/>
    <w:rsid w:val="00C76FBB"/>
    <w:rsid w:val="00C800F2"/>
    <w:rsid w:val="00C80531"/>
    <w:rsid w:val="00C813DD"/>
    <w:rsid w:val="00C817AB"/>
    <w:rsid w:val="00C81F09"/>
    <w:rsid w:val="00C85917"/>
    <w:rsid w:val="00C86916"/>
    <w:rsid w:val="00C91916"/>
    <w:rsid w:val="00C9255B"/>
    <w:rsid w:val="00C97136"/>
    <w:rsid w:val="00CB290D"/>
    <w:rsid w:val="00CB5323"/>
    <w:rsid w:val="00CB5D7E"/>
    <w:rsid w:val="00CC3018"/>
    <w:rsid w:val="00CC6347"/>
    <w:rsid w:val="00CD0574"/>
    <w:rsid w:val="00CD1172"/>
    <w:rsid w:val="00CD24E6"/>
    <w:rsid w:val="00CD42C9"/>
    <w:rsid w:val="00CD782B"/>
    <w:rsid w:val="00CE262C"/>
    <w:rsid w:val="00D00787"/>
    <w:rsid w:val="00D023F4"/>
    <w:rsid w:val="00D04FE6"/>
    <w:rsid w:val="00D11C39"/>
    <w:rsid w:val="00D23945"/>
    <w:rsid w:val="00D30BBD"/>
    <w:rsid w:val="00D30D81"/>
    <w:rsid w:val="00D3799D"/>
    <w:rsid w:val="00D40A7E"/>
    <w:rsid w:val="00D40B3C"/>
    <w:rsid w:val="00D478B2"/>
    <w:rsid w:val="00D60B51"/>
    <w:rsid w:val="00D65A76"/>
    <w:rsid w:val="00D7215A"/>
    <w:rsid w:val="00D7229F"/>
    <w:rsid w:val="00D735C6"/>
    <w:rsid w:val="00D84249"/>
    <w:rsid w:val="00D85E19"/>
    <w:rsid w:val="00D92A77"/>
    <w:rsid w:val="00DA2720"/>
    <w:rsid w:val="00DB29C1"/>
    <w:rsid w:val="00DB40BA"/>
    <w:rsid w:val="00DC281D"/>
    <w:rsid w:val="00DD138F"/>
    <w:rsid w:val="00DD28CA"/>
    <w:rsid w:val="00DD404C"/>
    <w:rsid w:val="00DE0FD1"/>
    <w:rsid w:val="00DE2136"/>
    <w:rsid w:val="00DE4F90"/>
    <w:rsid w:val="00DF083C"/>
    <w:rsid w:val="00E02823"/>
    <w:rsid w:val="00E13739"/>
    <w:rsid w:val="00E147D7"/>
    <w:rsid w:val="00E16916"/>
    <w:rsid w:val="00E1738B"/>
    <w:rsid w:val="00E21339"/>
    <w:rsid w:val="00E30406"/>
    <w:rsid w:val="00E32087"/>
    <w:rsid w:val="00E34B62"/>
    <w:rsid w:val="00E45714"/>
    <w:rsid w:val="00E4770E"/>
    <w:rsid w:val="00E52A42"/>
    <w:rsid w:val="00E54C87"/>
    <w:rsid w:val="00E54ECA"/>
    <w:rsid w:val="00E60C33"/>
    <w:rsid w:val="00E60FAD"/>
    <w:rsid w:val="00E66D8C"/>
    <w:rsid w:val="00E71BCE"/>
    <w:rsid w:val="00E76E26"/>
    <w:rsid w:val="00E77BB9"/>
    <w:rsid w:val="00E80B6B"/>
    <w:rsid w:val="00E87209"/>
    <w:rsid w:val="00E9186B"/>
    <w:rsid w:val="00EA163E"/>
    <w:rsid w:val="00EB704E"/>
    <w:rsid w:val="00EC07D9"/>
    <w:rsid w:val="00EC6CAD"/>
    <w:rsid w:val="00ED0750"/>
    <w:rsid w:val="00ED1241"/>
    <w:rsid w:val="00EE3699"/>
    <w:rsid w:val="00EE5B8A"/>
    <w:rsid w:val="00EF2BF1"/>
    <w:rsid w:val="00EF5CA5"/>
    <w:rsid w:val="00EF65E1"/>
    <w:rsid w:val="00EF7F3A"/>
    <w:rsid w:val="00F03078"/>
    <w:rsid w:val="00F04D44"/>
    <w:rsid w:val="00F074B5"/>
    <w:rsid w:val="00F123E9"/>
    <w:rsid w:val="00F16BD1"/>
    <w:rsid w:val="00F2170D"/>
    <w:rsid w:val="00F31344"/>
    <w:rsid w:val="00F476EC"/>
    <w:rsid w:val="00F55819"/>
    <w:rsid w:val="00F60512"/>
    <w:rsid w:val="00F60E5E"/>
    <w:rsid w:val="00F61F47"/>
    <w:rsid w:val="00F64EFD"/>
    <w:rsid w:val="00F65ADF"/>
    <w:rsid w:val="00F832AD"/>
    <w:rsid w:val="00F83B09"/>
    <w:rsid w:val="00F85A4C"/>
    <w:rsid w:val="00F87955"/>
    <w:rsid w:val="00F913D9"/>
    <w:rsid w:val="00F950E3"/>
    <w:rsid w:val="00F95FDC"/>
    <w:rsid w:val="00FA142D"/>
    <w:rsid w:val="00FB5FDB"/>
    <w:rsid w:val="00FB7E93"/>
    <w:rsid w:val="00FC6C4E"/>
    <w:rsid w:val="00FD07F1"/>
    <w:rsid w:val="00FD5133"/>
    <w:rsid w:val="00FD6989"/>
    <w:rsid w:val="00FD6D76"/>
    <w:rsid w:val="00FE0107"/>
    <w:rsid w:val="00FE23BF"/>
    <w:rsid w:val="00FF2694"/>
    <w:rsid w:val="00FF2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B424"/>
  <w15:docId w15:val="{00CC7199-4620-45D9-9858-B2BBD9D42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A1E"/>
    <w:rPr>
      <w:rFonts w:ascii="Times New Roman" w:hAnsi="Times New Roman"/>
    </w:rPr>
  </w:style>
  <w:style w:type="paragraph" w:styleId="berschrift1">
    <w:name w:val="heading 1"/>
    <w:basedOn w:val="Standard"/>
    <w:link w:val="berschrift1Zchn"/>
    <w:uiPriority w:val="9"/>
    <w:qFormat/>
    <w:rsid w:val="00523B4D"/>
    <w:pPr>
      <w:spacing w:before="100" w:beforeAutospacing="1" w:after="100" w:afterAutospacing="1" w:line="240" w:lineRule="auto"/>
      <w:outlineLvl w:val="0"/>
    </w:pPr>
    <w:rPr>
      <w:rFonts w:eastAsia="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F313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D5A1E"/>
    <w:pPr>
      <w:spacing w:after="0" w:line="240" w:lineRule="auto"/>
    </w:pPr>
    <w:rPr>
      <w:rFonts w:ascii="Times New Roman" w:hAnsi="Times New Roman"/>
    </w:rPr>
  </w:style>
  <w:style w:type="paragraph" w:customStyle="1" w:styleId="Normaltext">
    <w:name w:val="Normaltext"/>
    <w:basedOn w:val="Standard"/>
    <w:rsid w:val="00421B19"/>
    <w:pPr>
      <w:spacing w:after="0" w:line="360" w:lineRule="exact"/>
    </w:pPr>
    <w:rPr>
      <w:rFonts w:eastAsia="Times New Roman" w:cs="Times New Roman"/>
      <w:sz w:val="24"/>
      <w:szCs w:val="20"/>
      <w:lang w:eastAsia="de-DE"/>
    </w:rPr>
  </w:style>
  <w:style w:type="character" w:customStyle="1" w:styleId="berschrift1Zchn">
    <w:name w:val="Überschrift 1 Zchn"/>
    <w:basedOn w:val="Absatz-Standardschriftart"/>
    <w:link w:val="berschrift1"/>
    <w:uiPriority w:val="9"/>
    <w:rsid w:val="00523B4D"/>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unhideWhenUsed/>
    <w:rsid w:val="00523B4D"/>
    <w:pPr>
      <w:spacing w:before="100" w:beforeAutospacing="1" w:after="100" w:afterAutospacing="1" w:line="240" w:lineRule="auto"/>
    </w:pPr>
    <w:rPr>
      <w:rFonts w:eastAsia="Times New Roman" w:cs="Times New Roman"/>
      <w:sz w:val="24"/>
      <w:szCs w:val="24"/>
      <w:lang w:eastAsia="de-DE"/>
    </w:rPr>
  </w:style>
  <w:style w:type="character" w:styleId="Hyperlink">
    <w:name w:val="Hyperlink"/>
    <w:basedOn w:val="Absatz-Standardschriftart"/>
    <w:uiPriority w:val="99"/>
    <w:semiHidden/>
    <w:unhideWhenUsed/>
    <w:rsid w:val="00523B4D"/>
    <w:rPr>
      <w:color w:val="0000FF"/>
      <w:u w:val="single"/>
    </w:rPr>
  </w:style>
  <w:style w:type="character" w:customStyle="1" w:styleId="berschrift2Zchn">
    <w:name w:val="Überschrift 2 Zchn"/>
    <w:basedOn w:val="Absatz-Standardschriftart"/>
    <w:link w:val="berschrift2"/>
    <w:uiPriority w:val="9"/>
    <w:rsid w:val="00F31344"/>
    <w:rPr>
      <w:rFonts w:asciiTheme="majorHAnsi" w:eastAsiaTheme="majorEastAsia" w:hAnsiTheme="majorHAnsi" w:cstheme="majorBidi"/>
      <w:b/>
      <w:bCs/>
      <w:color w:val="4F81BD" w:themeColor="accent1"/>
      <w:sz w:val="26"/>
      <w:szCs w:val="26"/>
    </w:rPr>
  </w:style>
  <w:style w:type="character" w:customStyle="1" w:styleId="zit">
    <w:name w:val="zit"/>
    <w:basedOn w:val="Absatz-Standardschriftart"/>
    <w:rsid w:val="00F31344"/>
  </w:style>
  <w:style w:type="paragraph" w:styleId="Sprechblasentext">
    <w:name w:val="Balloon Text"/>
    <w:basedOn w:val="Standard"/>
    <w:link w:val="SprechblasentextZchn"/>
    <w:uiPriority w:val="99"/>
    <w:semiHidden/>
    <w:unhideWhenUsed/>
    <w:rsid w:val="001E534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5344"/>
    <w:rPr>
      <w:rFonts w:ascii="Segoe UI" w:hAnsi="Segoe UI" w:cs="Segoe UI"/>
      <w:sz w:val="18"/>
      <w:szCs w:val="18"/>
    </w:rPr>
  </w:style>
  <w:style w:type="paragraph" w:styleId="Listenabsatz">
    <w:name w:val="List Paragraph"/>
    <w:basedOn w:val="Standard"/>
    <w:uiPriority w:val="34"/>
    <w:qFormat/>
    <w:rsid w:val="00D11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111802">
      <w:bodyDiv w:val="1"/>
      <w:marLeft w:val="0"/>
      <w:marRight w:val="0"/>
      <w:marTop w:val="0"/>
      <w:marBottom w:val="0"/>
      <w:divBdr>
        <w:top w:val="none" w:sz="0" w:space="0" w:color="auto"/>
        <w:left w:val="none" w:sz="0" w:space="0" w:color="auto"/>
        <w:bottom w:val="none" w:sz="0" w:space="0" w:color="auto"/>
        <w:right w:val="none" w:sz="0" w:space="0" w:color="auto"/>
      </w:divBdr>
    </w:div>
    <w:div w:id="611523336">
      <w:bodyDiv w:val="1"/>
      <w:marLeft w:val="0"/>
      <w:marRight w:val="0"/>
      <w:marTop w:val="0"/>
      <w:marBottom w:val="0"/>
      <w:divBdr>
        <w:top w:val="none" w:sz="0" w:space="0" w:color="auto"/>
        <w:left w:val="none" w:sz="0" w:space="0" w:color="auto"/>
        <w:bottom w:val="none" w:sz="0" w:space="0" w:color="auto"/>
        <w:right w:val="none" w:sz="0" w:space="0" w:color="auto"/>
      </w:divBdr>
      <w:divsChild>
        <w:div w:id="1025325331">
          <w:marLeft w:val="0"/>
          <w:marRight w:val="0"/>
          <w:marTop w:val="0"/>
          <w:marBottom w:val="0"/>
          <w:divBdr>
            <w:top w:val="none" w:sz="0" w:space="0" w:color="auto"/>
            <w:left w:val="none" w:sz="0" w:space="0" w:color="auto"/>
            <w:bottom w:val="none" w:sz="0" w:space="0" w:color="auto"/>
            <w:right w:val="none" w:sz="0" w:space="0" w:color="auto"/>
          </w:divBdr>
          <w:divsChild>
            <w:div w:id="5717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5429">
      <w:bodyDiv w:val="1"/>
      <w:marLeft w:val="0"/>
      <w:marRight w:val="0"/>
      <w:marTop w:val="0"/>
      <w:marBottom w:val="0"/>
      <w:divBdr>
        <w:top w:val="none" w:sz="0" w:space="0" w:color="auto"/>
        <w:left w:val="none" w:sz="0" w:space="0" w:color="auto"/>
        <w:bottom w:val="none" w:sz="0" w:space="0" w:color="auto"/>
        <w:right w:val="none" w:sz="0" w:space="0" w:color="auto"/>
      </w:divBdr>
      <w:divsChild>
        <w:div w:id="1864515082">
          <w:marLeft w:val="0"/>
          <w:marRight w:val="0"/>
          <w:marTop w:val="0"/>
          <w:marBottom w:val="0"/>
          <w:divBdr>
            <w:top w:val="none" w:sz="0" w:space="0" w:color="auto"/>
            <w:left w:val="none" w:sz="0" w:space="0" w:color="auto"/>
            <w:bottom w:val="none" w:sz="0" w:space="0" w:color="auto"/>
            <w:right w:val="none" w:sz="0" w:space="0" w:color="auto"/>
          </w:divBdr>
          <w:divsChild>
            <w:div w:id="968128739">
              <w:marLeft w:val="0"/>
              <w:marRight w:val="0"/>
              <w:marTop w:val="0"/>
              <w:marBottom w:val="0"/>
              <w:divBdr>
                <w:top w:val="none" w:sz="0" w:space="0" w:color="auto"/>
                <w:left w:val="none" w:sz="0" w:space="0" w:color="auto"/>
                <w:bottom w:val="none" w:sz="0" w:space="0" w:color="auto"/>
                <w:right w:val="none" w:sz="0" w:space="0" w:color="auto"/>
              </w:divBdr>
              <w:divsChild>
                <w:div w:id="841621878">
                  <w:marLeft w:val="0"/>
                  <w:marRight w:val="0"/>
                  <w:marTop w:val="0"/>
                  <w:marBottom w:val="0"/>
                  <w:divBdr>
                    <w:top w:val="none" w:sz="0" w:space="0" w:color="auto"/>
                    <w:left w:val="none" w:sz="0" w:space="0" w:color="auto"/>
                    <w:bottom w:val="none" w:sz="0" w:space="0" w:color="auto"/>
                    <w:right w:val="none" w:sz="0" w:space="0" w:color="auto"/>
                  </w:divBdr>
                </w:div>
              </w:divsChild>
            </w:div>
            <w:div w:id="1266233790">
              <w:marLeft w:val="0"/>
              <w:marRight w:val="0"/>
              <w:marTop w:val="0"/>
              <w:marBottom w:val="0"/>
              <w:divBdr>
                <w:top w:val="none" w:sz="0" w:space="0" w:color="auto"/>
                <w:left w:val="none" w:sz="0" w:space="0" w:color="auto"/>
                <w:bottom w:val="none" w:sz="0" w:space="0" w:color="auto"/>
                <w:right w:val="none" w:sz="0" w:space="0" w:color="auto"/>
              </w:divBdr>
            </w:div>
            <w:div w:id="15227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418">
      <w:bodyDiv w:val="1"/>
      <w:marLeft w:val="0"/>
      <w:marRight w:val="0"/>
      <w:marTop w:val="0"/>
      <w:marBottom w:val="0"/>
      <w:divBdr>
        <w:top w:val="none" w:sz="0" w:space="0" w:color="auto"/>
        <w:left w:val="none" w:sz="0" w:space="0" w:color="auto"/>
        <w:bottom w:val="none" w:sz="0" w:space="0" w:color="auto"/>
        <w:right w:val="none" w:sz="0" w:space="0" w:color="auto"/>
      </w:divBdr>
    </w:div>
    <w:div w:id="934627728">
      <w:bodyDiv w:val="1"/>
      <w:marLeft w:val="0"/>
      <w:marRight w:val="0"/>
      <w:marTop w:val="0"/>
      <w:marBottom w:val="0"/>
      <w:divBdr>
        <w:top w:val="none" w:sz="0" w:space="0" w:color="auto"/>
        <w:left w:val="none" w:sz="0" w:space="0" w:color="auto"/>
        <w:bottom w:val="none" w:sz="0" w:space="0" w:color="auto"/>
        <w:right w:val="none" w:sz="0" w:space="0" w:color="auto"/>
      </w:divBdr>
      <w:divsChild>
        <w:div w:id="141850548">
          <w:marLeft w:val="0"/>
          <w:marRight w:val="0"/>
          <w:marTop w:val="0"/>
          <w:marBottom w:val="0"/>
          <w:divBdr>
            <w:top w:val="none" w:sz="0" w:space="0" w:color="auto"/>
            <w:left w:val="none" w:sz="0" w:space="0" w:color="auto"/>
            <w:bottom w:val="none" w:sz="0" w:space="0" w:color="auto"/>
            <w:right w:val="none" w:sz="0" w:space="0" w:color="auto"/>
          </w:divBdr>
        </w:div>
        <w:div w:id="1855001222">
          <w:marLeft w:val="0"/>
          <w:marRight w:val="0"/>
          <w:marTop w:val="0"/>
          <w:marBottom w:val="0"/>
          <w:divBdr>
            <w:top w:val="none" w:sz="0" w:space="0" w:color="auto"/>
            <w:left w:val="none" w:sz="0" w:space="0" w:color="auto"/>
            <w:bottom w:val="none" w:sz="0" w:space="0" w:color="auto"/>
            <w:right w:val="none" w:sz="0" w:space="0" w:color="auto"/>
          </w:divBdr>
        </w:div>
      </w:divsChild>
    </w:div>
    <w:div w:id="1075129909">
      <w:bodyDiv w:val="1"/>
      <w:marLeft w:val="0"/>
      <w:marRight w:val="0"/>
      <w:marTop w:val="0"/>
      <w:marBottom w:val="0"/>
      <w:divBdr>
        <w:top w:val="none" w:sz="0" w:space="0" w:color="auto"/>
        <w:left w:val="none" w:sz="0" w:space="0" w:color="auto"/>
        <w:bottom w:val="none" w:sz="0" w:space="0" w:color="auto"/>
        <w:right w:val="none" w:sz="0" w:space="0" w:color="auto"/>
      </w:divBdr>
    </w:div>
    <w:div w:id="1349211757">
      <w:bodyDiv w:val="1"/>
      <w:marLeft w:val="0"/>
      <w:marRight w:val="0"/>
      <w:marTop w:val="0"/>
      <w:marBottom w:val="0"/>
      <w:divBdr>
        <w:top w:val="none" w:sz="0" w:space="0" w:color="auto"/>
        <w:left w:val="none" w:sz="0" w:space="0" w:color="auto"/>
        <w:bottom w:val="none" w:sz="0" w:space="0" w:color="auto"/>
        <w:right w:val="none" w:sz="0" w:space="0" w:color="auto"/>
      </w:divBdr>
    </w:div>
    <w:div w:id="1495955721">
      <w:bodyDiv w:val="1"/>
      <w:marLeft w:val="0"/>
      <w:marRight w:val="0"/>
      <w:marTop w:val="0"/>
      <w:marBottom w:val="0"/>
      <w:divBdr>
        <w:top w:val="none" w:sz="0" w:space="0" w:color="auto"/>
        <w:left w:val="none" w:sz="0" w:space="0" w:color="auto"/>
        <w:bottom w:val="none" w:sz="0" w:space="0" w:color="auto"/>
        <w:right w:val="none" w:sz="0" w:space="0" w:color="auto"/>
      </w:divBdr>
    </w:div>
    <w:div w:id="1569270416">
      <w:bodyDiv w:val="1"/>
      <w:marLeft w:val="0"/>
      <w:marRight w:val="0"/>
      <w:marTop w:val="0"/>
      <w:marBottom w:val="0"/>
      <w:divBdr>
        <w:top w:val="none" w:sz="0" w:space="0" w:color="auto"/>
        <w:left w:val="none" w:sz="0" w:space="0" w:color="auto"/>
        <w:bottom w:val="none" w:sz="0" w:space="0" w:color="auto"/>
        <w:right w:val="none" w:sz="0" w:space="0" w:color="auto"/>
      </w:divBdr>
    </w:div>
    <w:div w:id="15950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ck-online.beck.de/Default.aspx?typ=reference&amp;y=100&amp;G=BGB&amp;P=574a"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beck-online.beck.de/Default.aspx?typ=reference&amp;y=100&amp;G=BGB&amp;P=574"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eck-online.beck.de/Default.aspx?typ=reference&amp;y=100&amp;G=BGB&amp;P=574" TargetMode="External"/><Relationship Id="rId5" Type="http://schemas.openxmlformats.org/officeDocument/2006/relationships/settings" Target="settings.xml"/><Relationship Id="rId10" Type="http://schemas.openxmlformats.org/officeDocument/2006/relationships/hyperlink" Target="http://beck-online.beck.de/Default.aspx?typ=reference&amp;y=100&amp;G=BGB&amp;P=574&amp;X=1" TargetMode="External"/><Relationship Id="rId4" Type="http://schemas.openxmlformats.org/officeDocument/2006/relationships/styles" Target="styles.xml"/><Relationship Id="rId9" Type="http://schemas.openxmlformats.org/officeDocument/2006/relationships/hyperlink" Target="http://beck-online.beck.de/Default.aspx?typ=reference&amp;y=100&amp;G=BGB&amp;P=5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68cf2ca2-e60f-4fef-aae4-2a36081c44e5</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610E3-A6E4-4C01-9C20-A5DE05699CD2}">
  <ds:schemaRefs>
    <ds:schemaRef ds:uri="http://www.datev.de/BSOffice/999929"/>
  </ds:schemaRefs>
</ds:datastoreItem>
</file>

<file path=customXml/itemProps2.xml><?xml version="1.0" encoding="utf-8"?>
<ds:datastoreItem xmlns:ds="http://schemas.openxmlformats.org/officeDocument/2006/customXml" ds:itemID="{53AF6E48-5C1A-4A42-855B-DA0326BC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1768</Words>
  <Characters>11145</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Kanzlei Luithlen</Company>
  <LinksUpToDate>false</LinksUpToDate>
  <CharactersWithSpaces>12888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Schmidt-Eberth</dc:creator>
  <cp:lastModifiedBy>Jens Becker-Platen</cp:lastModifiedBy>
  <cp:revision>7</cp:revision>
  <cp:lastPrinted>2019-01-17T09:30:00Z</cp:lastPrinted>
  <dcterms:created xsi:type="dcterms:W3CDTF">2020-07-15T06:30:00Z</dcterms:created>
  <dcterms:modified xsi:type="dcterms:W3CDTF">2020-08-31T11:03:00Z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000424-2013/001:00</vt:lpwstr>
  </property>
  <property fmtid="{D5CDD505-2E9C-101B-9397-08002B2CF9AE}" pid="3" name="DATEV-DMS_MANDANT_BEZ">
    <vt:lpwstr>Urteile und Entscheidungen              E-Akte</vt:lpwstr>
  </property>
  <property fmtid="{D5CDD505-2E9C-101B-9397-08002B2CF9AE}" pid="4" name="DATEV-DMS_DOKU_NR">
    <vt:lpwstr>526394</vt:lpwstr>
  </property>
  <property fmtid="{D5CDD505-2E9C-101B-9397-08002B2CF9AE}" pid="5" name="DATEV-DMS_BETREFF">
    <vt:lpwstr>Mandantenrundbrief September 2020</vt:lpwstr>
  </property>
</Properties>
</file>