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A0" w:rsidRDefault="001745A0" w:rsidP="00F16BD1">
      <w:pPr>
        <w:pStyle w:val="KeinLeerraum"/>
        <w:jc w:val="both"/>
      </w:pPr>
      <w:r w:rsidRPr="00421B19">
        <w:rPr>
          <w:noProof/>
          <w:lang w:eastAsia="de-DE"/>
        </w:rPr>
        <mc:AlternateContent>
          <mc:Choice Requires="wps">
            <w:drawing>
              <wp:anchor distT="0" distB="0" distL="114300" distR="114300" simplePos="0" relativeHeight="251659264" behindDoc="0" locked="0" layoutInCell="1" allowOverlap="1" wp14:anchorId="3159C8FE" wp14:editId="5C80751D">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671966">
                              <w:rPr>
                                <w:b/>
                                <w:sz w:val="28"/>
                              </w:rPr>
                              <w:t>August</w:t>
                            </w:r>
                            <w:r w:rsidR="00DE2136">
                              <w:rPr>
                                <w:b/>
                                <w:sz w:val="28"/>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9C8FE" id="_x0000_t202" coordsize="21600,21600" o:spt="202" path="m,l,21600r21600,l21600,xe">
                <v:stroke joinstyle="miter"/>
                <v:path gradientshapeok="t" o:connecttype="rect"/>
              </v:shapetype>
              <v:shape id="Textfeld 2" o:spid="_x0000_s1026" type="#_x0000_t202" style="position:absolute;left:0;text-align:left;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671966">
                        <w:rPr>
                          <w:b/>
                          <w:sz w:val="28"/>
                        </w:rPr>
                        <w:t>August</w:t>
                      </w:r>
                      <w:r w:rsidR="00DE2136">
                        <w:rPr>
                          <w:b/>
                          <w:sz w:val="28"/>
                        </w:rPr>
                        <w:t xml:space="preserve"> 2020</w:t>
                      </w:r>
                    </w:p>
                  </w:txbxContent>
                </v:textbox>
              </v:shape>
            </w:pict>
          </mc:Fallback>
        </mc:AlternateContent>
      </w:r>
    </w:p>
    <w:p w:rsidR="001745A0" w:rsidRDefault="001745A0" w:rsidP="00F16BD1">
      <w:pPr>
        <w:pStyle w:val="KeinLeerraum"/>
        <w:jc w:val="both"/>
      </w:pPr>
    </w:p>
    <w:p w:rsidR="001745A0" w:rsidRDefault="001745A0" w:rsidP="00F16BD1">
      <w:pPr>
        <w:pStyle w:val="KeinLeerraum"/>
        <w:jc w:val="both"/>
      </w:pPr>
    </w:p>
    <w:p w:rsidR="001745A0" w:rsidRDefault="001745A0" w:rsidP="00F16BD1">
      <w:pPr>
        <w:pStyle w:val="KeinLeerraum"/>
        <w:jc w:val="both"/>
      </w:pPr>
    </w:p>
    <w:p w:rsidR="00CD1172" w:rsidRDefault="00CD1172" w:rsidP="00F16BD1">
      <w:pPr>
        <w:pStyle w:val="KeinLeerraum"/>
        <w:jc w:val="both"/>
        <w:rPr>
          <w:rStyle w:val="zit"/>
        </w:rPr>
      </w:pPr>
    </w:p>
    <w:p w:rsidR="00E45714" w:rsidRDefault="00E45714" w:rsidP="00F16BD1">
      <w:pPr>
        <w:pStyle w:val="KeinLeerraum"/>
        <w:jc w:val="both"/>
        <w:rPr>
          <w:rStyle w:val="zit"/>
        </w:rPr>
      </w:pPr>
    </w:p>
    <w:p w:rsidR="00E45714" w:rsidRDefault="009865A6" w:rsidP="00F16BD1">
      <w:pPr>
        <w:pStyle w:val="KeinLeerraum"/>
        <w:jc w:val="both"/>
        <w:rPr>
          <w:rStyle w:val="zit"/>
        </w:rPr>
      </w:pPr>
      <w:r w:rsidRPr="009865A6">
        <w:rPr>
          <w:rStyle w:val="zit"/>
        </w:rPr>
        <w:t xml:space="preserve">Der </w:t>
      </w:r>
      <w:r w:rsidRPr="004850BB">
        <w:rPr>
          <w:rStyle w:val="zit"/>
          <w:b/>
        </w:rPr>
        <w:t>Bundesgerichtshof</w:t>
      </w:r>
      <w:r w:rsidRPr="009865A6">
        <w:rPr>
          <w:rStyle w:val="zit"/>
        </w:rPr>
        <w:t xml:space="preserve"> hat </w:t>
      </w:r>
      <w:r>
        <w:rPr>
          <w:rStyle w:val="zit"/>
        </w:rPr>
        <w:t xml:space="preserve">am 08.07.2020 </w:t>
      </w:r>
      <w:r w:rsidRPr="009865A6">
        <w:rPr>
          <w:rStyle w:val="zit"/>
        </w:rPr>
        <w:t>zw</w:t>
      </w:r>
      <w:r>
        <w:rPr>
          <w:rStyle w:val="zit"/>
        </w:rPr>
        <w:t xml:space="preserve">ei Urteile </w:t>
      </w:r>
      <w:r w:rsidRPr="009865A6">
        <w:rPr>
          <w:rStyle w:val="zit"/>
        </w:rPr>
        <w:t>zu der Problematik Schönheitsreparaturen bei unrenoviert übernommenen Wohnungen gefällt</w:t>
      </w:r>
      <w:r>
        <w:rPr>
          <w:rStyle w:val="zit"/>
        </w:rPr>
        <w:t xml:space="preserve">. </w:t>
      </w:r>
      <w:r w:rsidRPr="009865A6">
        <w:rPr>
          <w:rStyle w:val="zit"/>
        </w:rPr>
        <w:t>In beiden Gerichtsverfahren hatten langjährige Mieter ihre Wohnungen un</w:t>
      </w:r>
      <w:r>
        <w:rPr>
          <w:rStyle w:val="zit"/>
        </w:rPr>
        <w:t xml:space="preserve">renoviert gemietet und verlangten </w:t>
      </w:r>
      <w:r w:rsidRPr="009865A6">
        <w:rPr>
          <w:rStyle w:val="zit"/>
        </w:rPr>
        <w:t>nach langjähriger Mietzeit (14 Jahre bzw. 23 Jahre) vom Vermieter die Renovierung der Wohnung, die Vornahme von Schönheitsreparaturen.</w:t>
      </w:r>
      <w:r>
        <w:rPr>
          <w:rStyle w:val="zit"/>
        </w:rPr>
        <w:t xml:space="preserve"> </w:t>
      </w:r>
      <w:r w:rsidRPr="009865A6">
        <w:rPr>
          <w:rStyle w:val="zit"/>
        </w:rPr>
        <w:t>In beiden Fällen stellte der Bundesgerichtshof fest, dass die Übertragung der Schönheitsreparaturen auf die Mieter im Formularvertrag unwirksam ist, da den Mietern jeweils eine unrenovierte Wohnung überlassen und Ihnen hierfür kein angemessener finanzieller Ausgleich gezahlt worden war. Folglich trete in diesen Fällen an die Stelle der unwirksamen Schönheitsreparaturklausel die gesetzlich normierte Haltung sich des Vermieters.</w:t>
      </w:r>
      <w:r>
        <w:rPr>
          <w:rStyle w:val="zit"/>
        </w:rPr>
        <w:t xml:space="preserve"> </w:t>
      </w:r>
      <w:r w:rsidRPr="009865A6">
        <w:rPr>
          <w:rStyle w:val="zit"/>
        </w:rPr>
        <w:t>Ausgangspunkt der den Vermieter treffenden Erhaltungspflicht sei grundsätzlich der Zustand der Wohnung im Zeitpunkt ihrer Überlassung an den Mieter. Vorliegen</w:t>
      </w:r>
      <w:r>
        <w:rPr>
          <w:rStyle w:val="zit"/>
        </w:rPr>
        <w:t>d</w:t>
      </w:r>
      <w:r w:rsidRPr="009865A6">
        <w:rPr>
          <w:rStyle w:val="zit"/>
        </w:rPr>
        <w:t xml:space="preserve"> sei dies nach der Verkehrsanschauung mithin der unrenovierte Zustand, in dem die Mieter die Wohnung besichtigt und angemietet hätten, oder dass Vereinbarungen über vom Vermieter noch auszuführende Arbeiten getroffen worden sein. Dies führe aber </w:t>
      </w:r>
      <w:r>
        <w:rPr>
          <w:rStyle w:val="zit"/>
        </w:rPr>
        <w:t>nicht dazu, dass Instandhaltunsabs</w:t>
      </w:r>
      <w:r w:rsidRPr="009865A6">
        <w:rPr>
          <w:rStyle w:val="zit"/>
        </w:rPr>
        <w:t>prüche der Mieter unabhängig von dem weiteren Verschleiß der Dekoration von vorneherein ausscheiden. Vielmehr trifft den Vermieter eine Instandhaltungspflicht, wenn s</w:t>
      </w:r>
      <w:r>
        <w:rPr>
          <w:rStyle w:val="zit"/>
        </w:rPr>
        <w:t>ich der anfängliche Dekorationz</w:t>
      </w:r>
      <w:r w:rsidRPr="009865A6">
        <w:rPr>
          <w:rStyle w:val="zit"/>
        </w:rPr>
        <w:t>ustand wesentlich verschlec</w:t>
      </w:r>
      <w:r>
        <w:rPr>
          <w:rStyle w:val="zit"/>
        </w:rPr>
        <w:t>htert hat, was nach langen Zeitabl</w:t>
      </w:r>
      <w:r w:rsidRPr="009865A6">
        <w:rPr>
          <w:rStyle w:val="zit"/>
        </w:rPr>
        <w:t>uf seit Mietbeginn naheliegt</w:t>
      </w:r>
      <w:r>
        <w:rPr>
          <w:rStyle w:val="zit"/>
        </w:rPr>
        <w:t>.</w:t>
      </w:r>
      <w:r w:rsidRPr="009865A6">
        <w:t xml:space="preserve"> </w:t>
      </w:r>
      <w:r w:rsidRPr="009865A6">
        <w:rPr>
          <w:rStyle w:val="zit"/>
        </w:rPr>
        <w:t>Allerdings sei die</w:t>
      </w:r>
      <w:r>
        <w:rPr>
          <w:rStyle w:val="zit"/>
        </w:rPr>
        <w:t xml:space="preserve"> Wiederherstellung des Anfangsz</w:t>
      </w:r>
      <w:r w:rsidRPr="009865A6">
        <w:rPr>
          <w:rStyle w:val="zit"/>
        </w:rPr>
        <w:t>ustandes in der Regel nicht praktikabel, zumindest aber wirtschaftlich nicht sinnvoll und liegt nicht im vernünftigen Interesse der Mietvertragsparteien. Vielmehr sei allein eine Durchfüh</w:t>
      </w:r>
      <w:r>
        <w:rPr>
          <w:rStyle w:val="zit"/>
        </w:rPr>
        <w:t>rung von Schönheitsreparaturen s</w:t>
      </w:r>
      <w:r w:rsidRPr="009865A6">
        <w:rPr>
          <w:rStyle w:val="zit"/>
        </w:rPr>
        <w:t>ach-</w:t>
      </w:r>
      <w:r>
        <w:rPr>
          <w:rStyle w:val="zit"/>
        </w:rPr>
        <w:t xml:space="preserve"> </w:t>
      </w:r>
      <w:r w:rsidRPr="009865A6">
        <w:rPr>
          <w:rStyle w:val="zit"/>
        </w:rPr>
        <w:t>und interessengerecht, durch die der Vermieter die Wohnung in einem fris</w:t>
      </w:r>
      <w:r>
        <w:rPr>
          <w:rStyle w:val="zit"/>
        </w:rPr>
        <w:t>ch renovierten Zustand versetze</w:t>
      </w:r>
      <w:r w:rsidRPr="009865A6">
        <w:rPr>
          <w:rStyle w:val="zit"/>
        </w:rPr>
        <w:t xml:space="preserve">. Da hierdurch auch die Gebrauchspuren aus der Zeit vor dem gegenwärtigen Mietverhältnis beseitigt werden und der Mieter nach Durchführung der Reparaturen eine Wohnung mit besserem als den vertragsgemäßen Zustand bei Mietbeginn erhält, gebietet es der Grundsatz von Treu </w:t>
      </w:r>
      <w:r w:rsidRPr="009865A6">
        <w:rPr>
          <w:rStyle w:val="zit"/>
        </w:rPr>
        <w:t>und Glauben nach § 242 BGB, die jeweiligen Interessen der Vertragsparteien in einen angemessenen Ausgleich zu bringen. Daher könne der Mieter in derartigen Fällen zwar vom Vermieter eine frische Renovierung verlangen, müsse sich aber in angemessenem Umfang an den dafür erforderlichen Kosten beteiligen. Soweit nicht Besonderheiten vorliegen, werde dies regelmäßig eine hälftige Kostenbeteiligung bedeuten.</w:t>
      </w:r>
    </w:p>
    <w:p w:rsidR="00E45714" w:rsidRDefault="00E45714" w:rsidP="00F16BD1">
      <w:pPr>
        <w:pStyle w:val="KeinLeerraum"/>
        <w:jc w:val="both"/>
        <w:rPr>
          <w:rFonts w:cs="Times New Roman"/>
        </w:rPr>
      </w:pPr>
    </w:p>
    <w:p w:rsidR="00BA4932" w:rsidRDefault="004850BB" w:rsidP="00F16BD1">
      <w:pPr>
        <w:pStyle w:val="KeinLeerraum"/>
        <w:jc w:val="both"/>
        <w:rPr>
          <w:rFonts w:cs="Times New Roman"/>
        </w:rPr>
      </w:pPr>
      <w:r w:rsidRPr="004850BB">
        <w:rPr>
          <w:rFonts w:cs="Times New Roman"/>
        </w:rPr>
        <w:t xml:space="preserve">Der </w:t>
      </w:r>
      <w:r w:rsidRPr="004850BB">
        <w:rPr>
          <w:rFonts w:cs="Times New Roman"/>
          <w:b/>
        </w:rPr>
        <w:t>BGH</w:t>
      </w:r>
      <w:r w:rsidRPr="004850BB">
        <w:rPr>
          <w:rFonts w:cs="Times New Roman"/>
        </w:rPr>
        <w:t xml:space="preserve"> hat mit Urteil vom 29.04.2020 entschieden, dass erhöhte Geräusch-</w:t>
      </w:r>
      <w:r>
        <w:rPr>
          <w:rFonts w:cs="Times New Roman"/>
        </w:rPr>
        <w:t xml:space="preserve"> und Schmutzesi</w:t>
      </w:r>
      <w:r w:rsidRPr="004850BB">
        <w:rPr>
          <w:rFonts w:cs="Times New Roman"/>
        </w:rPr>
        <w:t>mmissionen wegen der Errichtung eines Neubaus in einer Baulücke auf einem Nachbargrundstück bei Fehlen anderslautender Beschaffenheitsvereinbarungen grundsätzlich keinen Mangel gemäß § 536 Abs. 1 Satz 1 BGB darstellen und nicht zur Mietminderung berechtigen, wenn auch der Vermieter die Immissionen ohne eigene Abwehr-</w:t>
      </w:r>
      <w:r>
        <w:rPr>
          <w:rFonts w:cs="Times New Roman"/>
        </w:rPr>
        <w:t xml:space="preserve"> oder Entschädigungsmöglichkeit </w:t>
      </w:r>
      <w:r w:rsidRPr="004850BB">
        <w:rPr>
          <w:rFonts w:cs="Times New Roman"/>
        </w:rPr>
        <w:t>nach § 906 BGB hinnehmen muss. Allein die Vorstellung des Mieters über die Freiheit der Wohnung von Baustellenlärm führt zu keiner konkludenten Beschaffenheitsvereinbarung. Erforderlich ist zumindest, dass der Vermieter zustimmend reagiert</w:t>
      </w:r>
      <w:r>
        <w:rPr>
          <w:rFonts w:cs="Times New Roman"/>
        </w:rPr>
        <w:t xml:space="preserve">. </w:t>
      </w:r>
      <w:r w:rsidRPr="004850BB">
        <w:rPr>
          <w:rFonts w:cs="Times New Roman"/>
        </w:rPr>
        <w:t xml:space="preserve">Es geht hier um die vorgelagerte Frage, ob ein Mangel überhaupt vorliegt. Dazu muss der Soll-Zustand ermittelt werden. Diesen will der Senat bei fehlender Beschaffenheitsvereinbarung weiterhin anhand einer ergänzenden Vertragsauslegung ermitteln. Dem Vermieter können nicht einseitig das Risiko einer lärmintensiven Nutzungsänderung auf einem Nachbargrundstück zugewiesen werden. Es komme vielmehr darauf an, welche Regelungen die Parteien bei sachgerechter Abwägung der beiderseitigen Interessen nach Treu und Glauben unter Berücksichtigung der Verkehrssitte als redliche Vertragspartner getroffen hätten, wenn Ihnen bei Vertragsschluss die von Ihnen nicht bedachte Entwicklung </w:t>
      </w:r>
      <w:r>
        <w:rPr>
          <w:rFonts w:cs="Times New Roman"/>
        </w:rPr>
        <w:t xml:space="preserve">in </w:t>
      </w:r>
      <w:r w:rsidRPr="004850BB">
        <w:rPr>
          <w:rFonts w:cs="Times New Roman"/>
        </w:rPr>
        <w:t>Gestalt der erhöhten Lärmbelastung bewusst gewesen wäre. Hiernach begründen bei Fehlen anders lautender Vereinbarungen nachträglich er</w:t>
      </w:r>
      <w:r>
        <w:rPr>
          <w:rFonts w:cs="Times New Roman"/>
        </w:rPr>
        <w:t>höhte Geräuschimmissionen durch Dr</w:t>
      </w:r>
      <w:r w:rsidRPr="004850BB">
        <w:rPr>
          <w:rFonts w:cs="Times New Roman"/>
        </w:rPr>
        <w:t>itte jedenfalls dann grundsätzlich keinen zur Mietminderung führenden Mangel einer Mietwohnung, wenn auch der Vermieter sie ohne eigene Abweh</w:t>
      </w:r>
      <w:r>
        <w:rPr>
          <w:rFonts w:cs="Times New Roman"/>
        </w:rPr>
        <w:t xml:space="preserve">r-oder Entschädigungsmöglichkeiten </w:t>
      </w:r>
      <w:r w:rsidRPr="004850BB">
        <w:rPr>
          <w:rFonts w:cs="Times New Roman"/>
        </w:rPr>
        <w:t>als unwesentlich oder ortsüblich hinnehmen mus</w:t>
      </w:r>
      <w:r>
        <w:rPr>
          <w:rFonts w:cs="Times New Roman"/>
        </w:rPr>
        <w:t>s. Der Senat spricht von einer Ausstrahlw</w:t>
      </w:r>
      <w:r w:rsidRPr="004850BB">
        <w:rPr>
          <w:rFonts w:cs="Times New Roman"/>
        </w:rPr>
        <w:t>irkung des § 906 BGB</w:t>
      </w:r>
      <w:r>
        <w:rPr>
          <w:rFonts w:cs="Times New Roman"/>
        </w:rPr>
        <w:t xml:space="preserve">. </w:t>
      </w:r>
    </w:p>
    <w:p w:rsidR="00EF2BF1" w:rsidRDefault="00EF2BF1" w:rsidP="00F16BD1">
      <w:pPr>
        <w:pStyle w:val="KeinLeerraum"/>
        <w:jc w:val="both"/>
        <w:rPr>
          <w:rFonts w:cs="Times New Roman"/>
        </w:rPr>
      </w:pPr>
    </w:p>
    <w:p w:rsidR="00EF2BF1" w:rsidRDefault="00EF2BF1" w:rsidP="00F16BD1">
      <w:pPr>
        <w:pStyle w:val="KeinLeerraum"/>
        <w:jc w:val="both"/>
        <w:rPr>
          <w:rFonts w:cs="Times New Roman"/>
        </w:rPr>
      </w:pPr>
      <w:r w:rsidRPr="00EF2BF1">
        <w:rPr>
          <w:rFonts w:cs="Times New Roman"/>
        </w:rPr>
        <w:lastRenderedPageBreak/>
        <w:t xml:space="preserve">In einem weiteren Urteil vom 29.04.2020 hat der </w:t>
      </w:r>
      <w:r w:rsidRPr="00EF2BF1">
        <w:rPr>
          <w:rFonts w:cs="Times New Roman"/>
          <w:b/>
        </w:rPr>
        <w:t>BGH</w:t>
      </w:r>
      <w:r w:rsidRPr="00EF2BF1">
        <w:rPr>
          <w:rFonts w:cs="Times New Roman"/>
        </w:rPr>
        <w:t xml:space="preserve"> geurteilt: Mindert der Mieter wegen Störungen durch Bauarbeiten auf einem Nachbargrundstück die Miete, muss der Mieter darlegen und beweisen, dass die Störungen zu einer wesentlichen Beeinträchtigung der Mietsache führen. Anschließend erst muss der Vermieter die </w:t>
      </w:r>
      <w:r>
        <w:rPr>
          <w:rFonts w:cs="Times New Roman"/>
        </w:rPr>
        <w:t>Unw</w:t>
      </w:r>
      <w:r w:rsidRPr="00EF2BF1">
        <w:rPr>
          <w:rFonts w:cs="Times New Roman"/>
        </w:rPr>
        <w:t>esentlichkeit der Beeinträchtigung beweisen. Gelingt dies dem Vermieter nicht, muss er darlegen und beweisen, dass die Grundstücksnutzung ortsüblich ist und die Beeinträchtigungen nicht durch wirtschaftlich zumutbare Maßnahmen verhindert werden können</w:t>
      </w:r>
      <w:r>
        <w:rPr>
          <w:rFonts w:cs="Times New Roman"/>
        </w:rPr>
        <w:t>.</w:t>
      </w:r>
    </w:p>
    <w:p w:rsidR="00EF2BF1" w:rsidRDefault="00EF2BF1" w:rsidP="00F16BD1">
      <w:pPr>
        <w:pStyle w:val="KeinLeerraum"/>
        <w:jc w:val="both"/>
        <w:rPr>
          <w:rFonts w:cs="Times New Roman"/>
        </w:rPr>
      </w:pPr>
    </w:p>
    <w:p w:rsidR="00EF2BF1" w:rsidRDefault="00EF2BF1" w:rsidP="00F16BD1">
      <w:pPr>
        <w:pStyle w:val="KeinLeerraum"/>
        <w:jc w:val="both"/>
        <w:rPr>
          <w:rFonts w:cs="Times New Roman"/>
        </w:rPr>
      </w:pPr>
      <w:r w:rsidRPr="00EF2BF1">
        <w:rPr>
          <w:rFonts w:cs="Times New Roman"/>
        </w:rPr>
        <w:t xml:space="preserve">Das </w:t>
      </w:r>
      <w:r w:rsidRPr="00EF2BF1">
        <w:rPr>
          <w:rFonts w:cs="Times New Roman"/>
          <w:b/>
        </w:rPr>
        <w:t>Landgericht Berlin</w:t>
      </w:r>
      <w:r w:rsidRPr="00EF2BF1">
        <w:rPr>
          <w:rFonts w:cs="Times New Roman"/>
        </w:rPr>
        <w:t xml:space="preserve"> hat mit Urteil vom 25.10.2019 entschieden, dass eine ordentliche Kündigung gerechtfertigt ist, wenn der Mieter mit einem Betrag in Verzug ist, der die Miete für zwei Monate erreicht. Es liegt eine erhebliche Pflichtverletzung vor. Die Schonfristzahlung nach § 569 BGB führt nicht zur Unwirksamkeit der ordentlichen Kündigung. Auch lassen sich keine konkreten allgemeinen Regeln aufstellen, und dass welchen Voraussetzungen ein Ausgleich der Mietrückstände innerhalb der Schonfrist der Durchsetzung des Räumungsanspruchs aufgrund der ordentlichen Kündigung entgegensteht. Das Verschulden kann allerdings entfallen, wenn der Mieter sich in einem Zustand der Schuldunfähigkeit befindet</w:t>
      </w:r>
      <w:r>
        <w:rPr>
          <w:rFonts w:cs="Times New Roman"/>
        </w:rPr>
        <w:t>.</w:t>
      </w:r>
    </w:p>
    <w:p w:rsidR="00EF2BF1" w:rsidRDefault="00EF2BF1" w:rsidP="00F16BD1">
      <w:pPr>
        <w:pStyle w:val="KeinLeerraum"/>
        <w:jc w:val="both"/>
        <w:rPr>
          <w:rFonts w:cs="Times New Roman"/>
        </w:rPr>
      </w:pPr>
    </w:p>
    <w:p w:rsidR="00EF2BF1" w:rsidRDefault="00EF2BF1" w:rsidP="00F16BD1">
      <w:pPr>
        <w:pStyle w:val="KeinLeerraum"/>
        <w:jc w:val="both"/>
        <w:rPr>
          <w:rFonts w:cs="Times New Roman"/>
        </w:rPr>
      </w:pPr>
      <w:r w:rsidRPr="00EF2BF1">
        <w:rPr>
          <w:rFonts w:cs="Times New Roman"/>
        </w:rPr>
        <w:t xml:space="preserve">Das </w:t>
      </w:r>
      <w:r w:rsidRPr="00EF2BF1">
        <w:rPr>
          <w:rFonts w:cs="Times New Roman"/>
          <w:b/>
        </w:rPr>
        <w:t>Landgericht Karlsruhe</w:t>
      </w:r>
      <w:r w:rsidRPr="00EF2BF1">
        <w:rPr>
          <w:rFonts w:cs="Times New Roman"/>
        </w:rPr>
        <w:t xml:space="preserve"> hat mit Beschluss vom 28.05.2020 festgestellt, dass die Missachtung eines rechtskräftigen Duldungsurteil zugunsten des Vermieters durch den Mieter einen wichtigen Grund i. S. v. § 543 BGB darstellt. Einer vorherigen Abmahnung bedarf es in einem solchen Fall nicht. Denn wenn sich der Mieter selbst über ein rechtskräftiges Urteil hinwegsetzt, wäre das Verlangen nach einer Abmahnung unnötige Förmelei</w:t>
      </w:r>
      <w:r>
        <w:rPr>
          <w:rFonts w:cs="Times New Roman"/>
        </w:rPr>
        <w:t>.</w:t>
      </w:r>
    </w:p>
    <w:p w:rsidR="00EF2BF1" w:rsidRDefault="00EF2BF1" w:rsidP="00F16BD1">
      <w:pPr>
        <w:pStyle w:val="KeinLeerraum"/>
        <w:jc w:val="both"/>
        <w:rPr>
          <w:rFonts w:cs="Times New Roman"/>
        </w:rPr>
      </w:pPr>
    </w:p>
    <w:p w:rsidR="00EF2BF1" w:rsidRDefault="00EF2BF1" w:rsidP="00F16BD1">
      <w:pPr>
        <w:pStyle w:val="KeinLeerraum"/>
        <w:jc w:val="both"/>
        <w:rPr>
          <w:rFonts w:cs="Times New Roman"/>
        </w:rPr>
      </w:pPr>
      <w:r w:rsidRPr="00EF2BF1">
        <w:rPr>
          <w:rFonts w:cs="Times New Roman"/>
        </w:rPr>
        <w:t xml:space="preserve">Das </w:t>
      </w:r>
      <w:r w:rsidRPr="00EF2BF1">
        <w:rPr>
          <w:rFonts w:cs="Times New Roman"/>
          <w:b/>
        </w:rPr>
        <w:t>Landgericht Frankfurt</w:t>
      </w:r>
      <w:r w:rsidRPr="00EF2BF1">
        <w:rPr>
          <w:rFonts w:cs="Times New Roman"/>
        </w:rPr>
        <w:t xml:space="preserve"> hat mit Urteil vom 05.03.2020 festgestellt, dass die Jahresabrechnung einer Wohnungseigentümergemeinschaft mindestens acht Tage vor der Beschlussfassung den Eigentümern vorliegen muss.</w:t>
      </w:r>
      <w:r w:rsidR="00202F29">
        <w:rPr>
          <w:rFonts w:cs="Times New Roman"/>
        </w:rPr>
        <w:t xml:space="preserve"> </w:t>
      </w:r>
      <w:r w:rsidR="00202F29" w:rsidRPr="00202F29">
        <w:rPr>
          <w:rFonts w:cs="Times New Roman"/>
        </w:rPr>
        <w:t xml:space="preserve">Das Gericht hat einen Zeitraum von acht Tagen zu prüfende Abrechnung für ausreichend angesehen, da diese nur aus sieben Seiten bestand und überschaubar war. Darüber hinaus war es möglich, rechtzeitig Rechtsrat zu Hilfe zu nehmen. Ferner wurde auch das innerhalb der Frist liegende Wochenende zur Auseinandersetzung </w:t>
      </w:r>
      <w:r w:rsidR="00202F29" w:rsidRPr="00202F29">
        <w:rPr>
          <w:rFonts w:cs="Times New Roman"/>
        </w:rPr>
        <w:t>mit der Abrechnung als ausreichend angesehen.</w:t>
      </w:r>
    </w:p>
    <w:p w:rsidR="00202F29" w:rsidRDefault="00202F29" w:rsidP="00F16BD1">
      <w:pPr>
        <w:pStyle w:val="KeinLeerraum"/>
        <w:jc w:val="both"/>
        <w:rPr>
          <w:rFonts w:cs="Times New Roman"/>
        </w:rPr>
      </w:pPr>
    </w:p>
    <w:p w:rsidR="00202F29" w:rsidRDefault="00202F29" w:rsidP="00F16BD1">
      <w:pPr>
        <w:pStyle w:val="KeinLeerraum"/>
        <w:jc w:val="both"/>
        <w:rPr>
          <w:rFonts w:cs="Times New Roman"/>
        </w:rPr>
      </w:pPr>
      <w:r w:rsidRPr="00202F29">
        <w:rPr>
          <w:rFonts w:cs="Times New Roman"/>
        </w:rPr>
        <w:t xml:space="preserve">Das </w:t>
      </w:r>
      <w:r w:rsidRPr="00202F29">
        <w:rPr>
          <w:rFonts w:cs="Times New Roman"/>
          <w:b/>
        </w:rPr>
        <w:t>OLG München</w:t>
      </w:r>
      <w:r w:rsidRPr="00202F29">
        <w:rPr>
          <w:rFonts w:cs="Times New Roman"/>
        </w:rPr>
        <w:t xml:space="preserve"> hat mit Beschluss vom 25.05.2020 entschieden, dass Gemeinschaftseinrichtungen nicht Gegenstand von Sondereigentum sein können, selbst wenn Sie sich im Bereich der im Sondereigentum stehenden Räume befinden sollten</w:t>
      </w:r>
      <w:r>
        <w:rPr>
          <w:rFonts w:cs="Times New Roman"/>
        </w:rPr>
        <w:t xml:space="preserve">. </w:t>
      </w:r>
      <w:r w:rsidRPr="00202F29">
        <w:rPr>
          <w:rFonts w:cs="Times New Roman"/>
        </w:rPr>
        <w:t xml:space="preserve">Die Räume, in denen sich Gemeinschaftsanlagen befinden, stehen zwingend im gemeinschaftlichen Eigentum, wenn ihr Zweck darauf gerichtet ist, der Gesamtheit der Wohnungseigentümer einen ungestörten Gebrauch ihrer Wohnungen und der Gemeinschaftsräume zu ermöglichen und zu erhalten. Vorliegend konnte am Elektroraum trotz der Eintragung im Grundbuch kein Sondereigentum entstehen. Eine Umwandlung im Gemeinschaftseigentum war somit nicht erforderlich. Nicht nur Anlagen und Einrichtungen des Gebäudes, die dem gemeinschaftlichen Gebrauch der Wohnungseigentümer dienen, sondern auch diesbezügliche Räume, z. B. mit Zählern, Energieversorgungsanlagen, können nicht Gegenstand von Sondereigentum sein. Das trifft auch auf Flächen und </w:t>
      </w:r>
      <w:r>
        <w:rPr>
          <w:rFonts w:cs="Times New Roman"/>
        </w:rPr>
        <w:t>Flure</w:t>
      </w:r>
      <w:r w:rsidRPr="00202F29">
        <w:rPr>
          <w:rFonts w:cs="Times New Roman"/>
        </w:rPr>
        <w:t xml:space="preserve"> zu, die als Zugang zu den Gemeinschaftsräumen bestimmt sind es handelt sich trotz der Eintragung im Grundbuch des alle nach herrschender Meinung nicht um </w:t>
      </w:r>
      <w:r>
        <w:rPr>
          <w:rFonts w:cs="Times New Roman"/>
        </w:rPr>
        <w:t>S</w:t>
      </w:r>
      <w:r w:rsidRPr="00202F29">
        <w:rPr>
          <w:rFonts w:cs="Times New Roman"/>
        </w:rPr>
        <w:t>onder-</w:t>
      </w:r>
      <w:r>
        <w:rPr>
          <w:rFonts w:cs="Times New Roman"/>
        </w:rPr>
        <w:t xml:space="preserve">, </w:t>
      </w:r>
      <w:r w:rsidRPr="00202F29">
        <w:rPr>
          <w:rFonts w:cs="Times New Roman"/>
        </w:rPr>
        <w:t>sondern um Gemeinschaftseigentum.</w:t>
      </w:r>
    </w:p>
    <w:p w:rsidR="00EF2BF1" w:rsidRDefault="00EF2BF1" w:rsidP="00F16BD1">
      <w:pPr>
        <w:pStyle w:val="KeinLeerraum"/>
        <w:jc w:val="both"/>
        <w:rPr>
          <w:rFonts w:cs="Times New Roman"/>
        </w:rPr>
      </w:pPr>
      <w:r>
        <w:rPr>
          <w:rFonts w:cs="Times New Roman"/>
        </w:rPr>
        <w:tab/>
      </w:r>
    </w:p>
    <w:p w:rsidR="00BA4932" w:rsidRDefault="00564EBC" w:rsidP="00F16BD1">
      <w:pPr>
        <w:pStyle w:val="KeinLeerraum"/>
        <w:jc w:val="both"/>
        <w:rPr>
          <w:rFonts w:cs="Times New Roman"/>
        </w:rPr>
      </w:pPr>
      <w:r w:rsidRPr="00564EBC">
        <w:rPr>
          <w:rFonts w:cs="Times New Roman"/>
        </w:rPr>
        <w:t xml:space="preserve">Der </w:t>
      </w:r>
      <w:r w:rsidRPr="00564EBC">
        <w:rPr>
          <w:rFonts w:cs="Times New Roman"/>
          <w:b/>
        </w:rPr>
        <w:t>BGH</w:t>
      </w:r>
      <w:r w:rsidRPr="00564EBC">
        <w:rPr>
          <w:rFonts w:cs="Times New Roman"/>
        </w:rPr>
        <w:t xml:space="preserve"> hat mit Beschluss vom 26.05.2020 Folgendes entschieden: Beruft sich der Mieter im Räumungsprozess darauf, die Beendigung des Mietverhältnisses stelle für ihn eine unzumutbare Härte dar und trägt er zu seinen diesbezüglich geltend gemachten gesundheitlichen Beeinträchtigungen substantiiert sowie unter Vorlage aussagekräftiger Atteste vor, verstößt </w:t>
      </w:r>
      <w:r>
        <w:rPr>
          <w:rFonts w:cs="Times New Roman"/>
        </w:rPr>
        <w:t>die Niche</w:t>
      </w:r>
      <w:r w:rsidRPr="00564EBC">
        <w:rPr>
          <w:rFonts w:cs="Times New Roman"/>
        </w:rPr>
        <w:t>inholung eines Sachverständigengutachtens zum Gesundheitszustand des Mieters sowie zu der Art, dem Umfang und den konkreten Auswirkungen seiner behaupteten Erkrankungen auf die Lebensführung im Allgemeinen und im Falle des Verlusts der vertrauten Umgebung regelmäßig gegen das Gebot des rechtlichen</w:t>
      </w:r>
      <w:r>
        <w:rPr>
          <w:rFonts w:cs="Times New Roman"/>
        </w:rPr>
        <w:t xml:space="preserve"> Gehörs. Denn wenn der Instanzr</w:t>
      </w:r>
      <w:r w:rsidRPr="00564EBC">
        <w:rPr>
          <w:rFonts w:cs="Times New Roman"/>
        </w:rPr>
        <w:t xml:space="preserve">ichter abweichend von einem </w:t>
      </w:r>
      <w:r>
        <w:rPr>
          <w:rFonts w:cs="Times New Roman"/>
        </w:rPr>
        <w:t>fach</w:t>
      </w:r>
      <w:r w:rsidRPr="00564EBC">
        <w:rPr>
          <w:rFonts w:cs="Times New Roman"/>
        </w:rPr>
        <w:t>ärztlich bescheinigten Bild die vom Mieter, auch unter Beifügung eines Nachweises über einen bestehenden Behinderungsgrad, vorget</w:t>
      </w:r>
      <w:r>
        <w:rPr>
          <w:rFonts w:cs="Times New Roman"/>
        </w:rPr>
        <w:t>ragenen Erkrankungen, die seinem</w:t>
      </w:r>
      <w:r w:rsidRPr="00564EBC">
        <w:rPr>
          <w:rFonts w:cs="Times New Roman"/>
        </w:rPr>
        <w:t xml:space="preserve"> Wohnungswechsel im Weg stehen sollen, als lediglich </w:t>
      </w:r>
      <w:r>
        <w:rPr>
          <w:rFonts w:cs="Times New Roman"/>
        </w:rPr>
        <w:t>„</w:t>
      </w:r>
      <w:r w:rsidRPr="00564EBC">
        <w:rPr>
          <w:rFonts w:cs="Times New Roman"/>
        </w:rPr>
        <w:t>altersbedingte Beschwerden</w:t>
      </w:r>
      <w:r>
        <w:rPr>
          <w:rFonts w:cs="Times New Roman"/>
        </w:rPr>
        <w:t>“</w:t>
      </w:r>
      <w:r w:rsidRPr="00564EBC">
        <w:rPr>
          <w:rFonts w:cs="Times New Roman"/>
        </w:rPr>
        <w:t xml:space="preserve"> bagatellisiert sowie die gesundheitlichen Auswirkungen eines erzwun</w:t>
      </w:r>
      <w:r w:rsidRPr="00564EBC">
        <w:rPr>
          <w:rFonts w:cs="Times New Roman"/>
        </w:rPr>
        <w:lastRenderedPageBreak/>
        <w:t xml:space="preserve">genen Wohnungswechsels selbst beurteilt, statt sich sachverständig beraten zu lassen, </w:t>
      </w:r>
      <w:r>
        <w:rPr>
          <w:rFonts w:cs="Times New Roman"/>
        </w:rPr>
        <w:t>maßt er</w:t>
      </w:r>
      <w:r w:rsidRPr="00564EBC">
        <w:rPr>
          <w:rFonts w:cs="Times New Roman"/>
        </w:rPr>
        <w:t xml:space="preserve"> sich eine Sachkunde an, übe</w:t>
      </w:r>
      <w:r>
        <w:rPr>
          <w:rFonts w:cs="Times New Roman"/>
        </w:rPr>
        <w:t>r</w:t>
      </w:r>
      <w:r w:rsidRPr="00564EBC">
        <w:rPr>
          <w:rFonts w:cs="Times New Roman"/>
        </w:rPr>
        <w:t xml:space="preserve"> die er offensichtlich nicht verfügt.</w:t>
      </w:r>
    </w:p>
    <w:p w:rsidR="00564EBC" w:rsidRDefault="00564EBC" w:rsidP="00F16BD1">
      <w:pPr>
        <w:pStyle w:val="KeinLeerraum"/>
        <w:jc w:val="both"/>
        <w:rPr>
          <w:rFonts w:cs="Times New Roman"/>
        </w:rPr>
      </w:pPr>
    </w:p>
    <w:p w:rsidR="00564EBC" w:rsidRDefault="00564EBC" w:rsidP="00F16BD1">
      <w:pPr>
        <w:pStyle w:val="KeinLeerraum"/>
        <w:jc w:val="both"/>
        <w:rPr>
          <w:rFonts w:cs="Times New Roman"/>
        </w:rPr>
      </w:pPr>
      <w:bookmarkStart w:id="0" w:name="_GoBack"/>
      <w:bookmarkEnd w:id="0"/>
    </w:p>
    <w:p w:rsidR="007C427B" w:rsidRDefault="00655F43" w:rsidP="00F16BD1">
      <w:pPr>
        <w:pStyle w:val="KeinLeerraum"/>
        <w:jc w:val="both"/>
        <w:rPr>
          <w:rFonts w:cs="Times New Roman"/>
        </w:rPr>
      </w:pPr>
      <w:r w:rsidRPr="00655F43">
        <w:rPr>
          <w:rFonts w:cs="Times New Roman"/>
        </w:rPr>
        <w:t xml:space="preserve">Verpflichtet. Verpflichtet. verpflichtet. zum Ersatz der hieraus entstandenen Schäden verpflichtet. </w:t>
      </w:r>
      <w:r w:rsidR="00422D09" w:rsidRPr="00421B19">
        <w:rPr>
          <w:noProof/>
          <w:lang w:eastAsia="de-DE"/>
        </w:rPr>
        <mc:AlternateContent>
          <mc:Choice Requires="wps">
            <w:drawing>
              <wp:anchor distT="0" distB="0" distL="114300" distR="114300" simplePos="0" relativeHeight="251662848" behindDoc="0" locked="0" layoutInCell="1" allowOverlap="1" wp14:anchorId="16665136" wp14:editId="6E463073">
                <wp:simplePos x="0" y="0"/>
                <wp:positionH relativeFrom="column">
                  <wp:posOffset>-18161</wp:posOffset>
                </wp:positionH>
                <wp:positionV relativeFrom="paragraph">
                  <wp:posOffset>31191</wp:posOffset>
                </wp:positionV>
                <wp:extent cx="2660650" cy="2487168"/>
                <wp:effectExtent l="0" t="0" r="25400" b="279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487168"/>
                        </a:xfrm>
                        <a:prstGeom prst="rect">
                          <a:avLst/>
                        </a:prstGeom>
                        <a:solidFill>
                          <a:srgbClr val="FFFFFF"/>
                        </a:solidFill>
                        <a:ln w="9525">
                          <a:solidFill>
                            <a:srgbClr val="000000"/>
                          </a:solidFill>
                          <a:miter lim="800000"/>
                          <a:headEnd/>
                          <a:tailEnd/>
                        </a:ln>
                      </wps:spPr>
                      <wps:txb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65136" id="_x0000_s1027" type="#_x0000_t202" style="position:absolute;left:0;text-align:left;margin-left:-1.45pt;margin-top:2.45pt;width:209.5pt;height:19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">
                <v:textbo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v:textbox>
              </v:shape>
            </w:pict>
          </mc:Fallback>
        </mc:AlternateContent>
      </w: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41131A" w:rsidRDefault="0041131A"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Pr="0041131A" w:rsidRDefault="007C427B" w:rsidP="00F16BD1">
      <w:pPr>
        <w:pStyle w:val="KeinLeerraum"/>
        <w:jc w:val="both"/>
        <w:rPr>
          <w:rFonts w:cs="Times New Roman"/>
        </w:rPr>
      </w:pPr>
    </w:p>
    <w:p w:rsidR="001E5344" w:rsidRDefault="001E5344" w:rsidP="00F16BD1">
      <w:pPr>
        <w:pStyle w:val="KeinLeerraum"/>
        <w:jc w:val="both"/>
        <w:rPr>
          <w:rFonts w:cs="Times New Roman"/>
        </w:rPr>
      </w:pPr>
    </w:p>
    <w:sectPr w:rsidR="001E5344"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33BC">
    <w:panose1 w:val="00000500000000000000"/>
    <w:charset w:val="00"/>
    <w:family w:val="roman"/>
    <w:notTrueType/>
    <w:pitch w:val="variable"/>
    <w:sig w:usb0="00000003" w:usb1="00000000" w:usb2="00000000" w:usb3="00000000" w:csb0="00000001" w:csb1="00000000"/>
  </w:font>
  <w:font w:name="Copperplate32BC">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10572A"/>
    <w:multiLevelType w:val="hybridMultilevel"/>
    <w:tmpl w:val="D17C2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E"/>
    <w:rsid w:val="0000539D"/>
    <w:rsid w:val="00012FB5"/>
    <w:rsid w:val="00023589"/>
    <w:rsid w:val="00030C57"/>
    <w:rsid w:val="00037A29"/>
    <w:rsid w:val="00041914"/>
    <w:rsid w:val="000460E5"/>
    <w:rsid w:val="00051F36"/>
    <w:rsid w:val="00052640"/>
    <w:rsid w:val="00054BE3"/>
    <w:rsid w:val="000557B2"/>
    <w:rsid w:val="0005639D"/>
    <w:rsid w:val="0005726D"/>
    <w:rsid w:val="0006078E"/>
    <w:rsid w:val="0006423F"/>
    <w:rsid w:val="0006635C"/>
    <w:rsid w:val="000669C3"/>
    <w:rsid w:val="00077791"/>
    <w:rsid w:val="000874D5"/>
    <w:rsid w:val="00093902"/>
    <w:rsid w:val="000A022A"/>
    <w:rsid w:val="000A4194"/>
    <w:rsid w:val="000A7DE0"/>
    <w:rsid w:val="000B22A0"/>
    <w:rsid w:val="000B46AE"/>
    <w:rsid w:val="000B50DC"/>
    <w:rsid w:val="000C2A5A"/>
    <w:rsid w:val="000C477F"/>
    <w:rsid w:val="000C6C0A"/>
    <w:rsid w:val="000E1FE5"/>
    <w:rsid w:val="000E41B8"/>
    <w:rsid w:val="000E5115"/>
    <w:rsid w:val="000F0CA3"/>
    <w:rsid w:val="000F1727"/>
    <w:rsid w:val="000F4FD9"/>
    <w:rsid w:val="00100EB4"/>
    <w:rsid w:val="00101E98"/>
    <w:rsid w:val="00107AE4"/>
    <w:rsid w:val="00111066"/>
    <w:rsid w:val="0011246D"/>
    <w:rsid w:val="00112CFD"/>
    <w:rsid w:val="00124835"/>
    <w:rsid w:val="0013254E"/>
    <w:rsid w:val="00134C7F"/>
    <w:rsid w:val="001375AE"/>
    <w:rsid w:val="00140F8A"/>
    <w:rsid w:val="00141F2D"/>
    <w:rsid w:val="00162CAC"/>
    <w:rsid w:val="00174475"/>
    <w:rsid w:val="001745A0"/>
    <w:rsid w:val="00175CBB"/>
    <w:rsid w:val="001815DE"/>
    <w:rsid w:val="00186245"/>
    <w:rsid w:val="00196A92"/>
    <w:rsid w:val="001A4642"/>
    <w:rsid w:val="001A57EF"/>
    <w:rsid w:val="001A7722"/>
    <w:rsid w:val="001B27FD"/>
    <w:rsid w:val="001B2F23"/>
    <w:rsid w:val="001B6576"/>
    <w:rsid w:val="001C1780"/>
    <w:rsid w:val="001E1622"/>
    <w:rsid w:val="001E1FDB"/>
    <w:rsid w:val="001E4E3A"/>
    <w:rsid w:val="001E5344"/>
    <w:rsid w:val="001E5925"/>
    <w:rsid w:val="001F5A84"/>
    <w:rsid w:val="002004DE"/>
    <w:rsid w:val="00201A3E"/>
    <w:rsid w:val="00202F29"/>
    <w:rsid w:val="002134DA"/>
    <w:rsid w:val="00214473"/>
    <w:rsid w:val="0021540D"/>
    <w:rsid w:val="00215460"/>
    <w:rsid w:val="002205F8"/>
    <w:rsid w:val="0022136B"/>
    <w:rsid w:val="0022361D"/>
    <w:rsid w:val="00230551"/>
    <w:rsid w:val="00232F4F"/>
    <w:rsid w:val="00236A45"/>
    <w:rsid w:val="002370DE"/>
    <w:rsid w:val="00256516"/>
    <w:rsid w:val="00264863"/>
    <w:rsid w:val="00265A05"/>
    <w:rsid w:val="00271141"/>
    <w:rsid w:val="00294681"/>
    <w:rsid w:val="002A1EF2"/>
    <w:rsid w:val="002A7469"/>
    <w:rsid w:val="002A7A9D"/>
    <w:rsid w:val="002B4C94"/>
    <w:rsid w:val="002C4D08"/>
    <w:rsid w:val="002D4B52"/>
    <w:rsid w:val="002E0B91"/>
    <w:rsid w:val="003001E5"/>
    <w:rsid w:val="00301F0E"/>
    <w:rsid w:val="0030310E"/>
    <w:rsid w:val="003076C1"/>
    <w:rsid w:val="00310591"/>
    <w:rsid w:val="00311678"/>
    <w:rsid w:val="003137BB"/>
    <w:rsid w:val="00314880"/>
    <w:rsid w:val="0032057B"/>
    <w:rsid w:val="0032308D"/>
    <w:rsid w:val="00324729"/>
    <w:rsid w:val="00326D33"/>
    <w:rsid w:val="003278EC"/>
    <w:rsid w:val="00327D32"/>
    <w:rsid w:val="00333BA2"/>
    <w:rsid w:val="00336775"/>
    <w:rsid w:val="00344EA1"/>
    <w:rsid w:val="0034564B"/>
    <w:rsid w:val="003522CD"/>
    <w:rsid w:val="0035647B"/>
    <w:rsid w:val="00360D25"/>
    <w:rsid w:val="00364A9D"/>
    <w:rsid w:val="00376F02"/>
    <w:rsid w:val="003805D4"/>
    <w:rsid w:val="003821D7"/>
    <w:rsid w:val="00385F93"/>
    <w:rsid w:val="00386426"/>
    <w:rsid w:val="00391243"/>
    <w:rsid w:val="003A3D51"/>
    <w:rsid w:val="003A4136"/>
    <w:rsid w:val="003A6384"/>
    <w:rsid w:val="003A66B3"/>
    <w:rsid w:val="003B068A"/>
    <w:rsid w:val="003B252E"/>
    <w:rsid w:val="003B2E5F"/>
    <w:rsid w:val="003B3EEB"/>
    <w:rsid w:val="003B4443"/>
    <w:rsid w:val="003B5986"/>
    <w:rsid w:val="003C3731"/>
    <w:rsid w:val="003D006E"/>
    <w:rsid w:val="003D22CC"/>
    <w:rsid w:val="003D7858"/>
    <w:rsid w:val="003E1559"/>
    <w:rsid w:val="003E59C5"/>
    <w:rsid w:val="003F171B"/>
    <w:rsid w:val="003F79AF"/>
    <w:rsid w:val="004048FD"/>
    <w:rsid w:val="00406D4F"/>
    <w:rsid w:val="0041131A"/>
    <w:rsid w:val="00421B19"/>
    <w:rsid w:val="00422D09"/>
    <w:rsid w:val="004310C9"/>
    <w:rsid w:val="00452DD5"/>
    <w:rsid w:val="00456F6B"/>
    <w:rsid w:val="00457C17"/>
    <w:rsid w:val="00463FF8"/>
    <w:rsid w:val="004643D5"/>
    <w:rsid w:val="00466682"/>
    <w:rsid w:val="00471137"/>
    <w:rsid w:val="00475064"/>
    <w:rsid w:val="00475C68"/>
    <w:rsid w:val="004850BB"/>
    <w:rsid w:val="004853B0"/>
    <w:rsid w:val="00493550"/>
    <w:rsid w:val="004937AC"/>
    <w:rsid w:val="004B2D14"/>
    <w:rsid w:val="004C6668"/>
    <w:rsid w:val="004E212C"/>
    <w:rsid w:val="004E2E95"/>
    <w:rsid w:val="004E5B6E"/>
    <w:rsid w:val="004F041F"/>
    <w:rsid w:val="004F0F1C"/>
    <w:rsid w:val="004F3F15"/>
    <w:rsid w:val="004F4D47"/>
    <w:rsid w:val="005027C3"/>
    <w:rsid w:val="00504CA6"/>
    <w:rsid w:val="005177A4"/>
    <w:rsid w:val="005226BB"/>
    <w:rsid w:val="00523B4D"/>
    <w:rsid w:val="005247B6"/>
    <w:rsid w:val="0054066F"/>
    <w:rsid w:val="00542A18"/>
    <w:rsid w:val="00545294"/>
    <w:rsid w:val="00551ADB"/>
    <w:rsid w:val="00552B5C"/>
    <w:rsid w:val="005567C3"/>
    <w:rsid w:val="00564EBC"/>
    <w:rsid w:val="00566C7E"/>
    <w:rsid w:val="005671A6"/>
    <w:rsid w:val="00570F3B"/>
    <w:rsid w:val="00573F33"/>
    <w:rsid w:val="005754BD"/>
    <w:rsid w:val="005779EB"/>
    <w:rsid w:val="00577F14"/>
    <w:rsid w:val="0058003F"/>
    <w:rsid w:val="0058014E"/>
    <w:rsid w:val="00582153"/>
    <w:rsid w:val="005927E9"/>
    <w:rsid w:val="0059626E"/>
    <w:rsid w:val="005B4907"/>
    <w:rsid w:val="005B71F4"/>
    <w:rsid w:val="005C31E1"/>
    <w:rsid w:val="005C553D"/>
    <w:rsid w:val="005D13B1"/>
    <w:rsid w:val="005E1A6E"/>
    <w:rsid w:val="005E1A86"/>
    <w:rsid w:val="005E7A6B"/>
    <w:rsid w:val="00605856"/>
    <w:rsid w:val="006102C1"/>
    <w:rsid w:val="006106D6"/>
    <w:rsid w:val="006209B9"/>
    <w:rsid w:val="00623201"/>
    <w:rsid w:val="00634308"/>
    <w:rsid w:val="006361D2"/>
    <w:rsid w:val="00655F43"/>
    <w:rsid w:val="00657ECD"/>
    <w:rsid w:val="00671966"/>
    <w:rsid w:val="00680628"/>
    <w:rsid w:val="00686F3A"/>
    <w:rsid w:val="00687B22"/>
    <w:rsid w:val="0069034D"/>
    <w:rsid w:val="006925CB"/>
    <w:rsid w:val="00697F68"/>
    <w:rsid w:val="006B28C0"/>
    <w:rsid w:val="006B6F81"/>
    <w:rsid w:val="006C63AC"/>
    <w:rsid w:val="006C7730"/>
    <w:rsid w:val="006D5A1E"/>
    <w:rsid w:val="006D5D8C"/>
    <w:rsid w:val="006E7255"/>
    <w:rsid w:val="006E7EE6"/>
    <w:rsid w:val="007156B8"/>
    <w:rsid w:val="00722716"/>
    <w:rsid w:val="007304B9"/>
    <w:rsid w:val="0073400C"/>
    <w:rsid w:val="0075664B"/>
    <w:rsid w:val="00761A87"/>
    <w:rsid w:val="00763C22"/>
    <w:rsid w:val="00764BE7"/>
    <w:rsid w:val="0076545E"/>
    <w:rsid w:val="00766E60"/>
    <w:rsid w:val="00770CD4"/>
    <w:rsid w:val="00773E7C"/>
    <w:rsid w:val="00776757"/>
    <w:rsid w:val="00776EB2"/>
    <w:rsid w:val="00777989"/>
    <w:rsid w:val="0078104E"/>
    <w:rsid w:val="007858A6"/>
    <w:rsid w:val="00792404"/>
    <w:rsid w:val="007961AB"/>
    <w:rsid w:val="007A21D0"/>
    <w:rsid w:val="007A6705"/>
    <w:rsid w:val="007B1699"/>
    <w:rsid w:val="007B4EB6"/>
    <w:rsid w:val="007C427B"/>
    <w:rsid w:val="007D2F4F"/>
    <w:rsid w:val="007D3142"/>
    <w:rsid w:val="007D431F"/>
    <w:rsid w:val="007D54F5"/>
    <w:rsid w:val="007E06A0"/>
    <w:rsid w:val="007E1245"/>
    <w:rsid w:val="007E2B24"/>
    <w:rsid w:val="007E4EC5"/>
    <w:rsid w:val="007E53D0"/>
    <w:rsid w:val="007E5DE4"/>
    <w:rsid w:val="007E7331"/>
    <w:rsid w:val="007F1514"/>
    <w:rsid w:val="007F1946"/>
    <w:rsid w:val="007F20B5"/>
    <w:rsid w:val="007F2310"/>
    <w:rsid w:val="007F27F9"/>
    <w:rsid w:val="00806753"/>
    <w:rsid w:val="00807875"/>
    <w:rsid w:val="0081560A"/>
    <w:rsid w:val="00816624"/>
    <w:rsid w:val="00817E91"/>
    <w:rsid w:val="00821E57"/>
    <w:rsid w:val="008263CC"/>
    <w:rsid w:val="0082772A"/>
    <w:rsid w:val="008420B0"/>
    <w:rsid w:val="008464B3"/>
    <w:rsid w:val="0085589B"/>
    <w:rsid w:val="00857A7D"/>
    <w:rsid w:val="008648B0"/>
    <w:rsid w:val="00876F85"/>
    <w:rsid w:val="008802A9"/>
    <w:rsid w:val="00881F6B"/>
    <w:rsid w:val="00885A97"/>
    <w:rsid w:val="00890A5D"/>
    <w:rsid w:val="0089266F"/>
    <w:rsid w:val="00895F98"/>
    <w:rsid w:val="00896D84"/>
    <w:rsid w:val="00896D85"/>
    <w:rsid w:val="008A1505"/>
    <w:rsid w:val="008A25EE"/>
    <w:rsid w:val="008D3683"/>
    <w:rsid w:val="008D4863"/>
    <w:rsid w:val="008D7AD3"/>
    <w:rsid w:val="008E1688"/>
    <w:rsid w:val="008F6FB7"/>
    <w:rsid w:val="00900652"/>
    <w:rsid w:val="00901C06"/>
    <w:rsid w:val="00907E5D"/>
    <w:rsid w:val="00912E33"/>
    <w:rsid w:val="00916581"/>
    <w:rsid w:val="009209B4"/>
    <w:rsid w:val="00927643"/>
    <w:rsid w:val="009360D0"/>
    <w:rsid w:val="00941952"/>
    <w:rsid w:val="00942C61"/>
    <w:rsid w:val="00946D50"/>
    <w:rsid w:val="009578BB"/>
    <w:rsid w:val="00970543"/>
    <w:rsid w:val="009741B1"/>
    <w:rsid w:val="00982D96"/>
    <w:rsid w:val="00983385"/>
    <w:rsid w:val="00983E19"/>
    <w:rsid w:val="009865A6"/>
    <w:rsid w:val="00991104"/>
    <w:rsid w:val="009925EF"/>
    <w:rsid w:val="00994BA8"/>
    <w:rsid w:val="00995261"/>
    <w:rsid w:val="00996E43"/>
    <w:rsid w:val="009A334A"/>
    <w:rsid w:val="009A5D8D"/>
    <w:rsid w:val="009B23B8"/>
    <w:rsid w:val="009B48D7"/>
    <w:rsid w:val="009B62EF"/>
    <w:rsid w:val="009C1151"/>
    <w:rsid w:val="009C21B2"/>
    <w:rsid w:val="009C59AB"/>
    <w:rsid w:val="009D717F"/>
    <w:rsid w:val="009E27FB"/>
    <w:rsid w:val="009E3F68"/>
    <w:rsid w:val="00A00F63"/>
    <w:rsid w:val="00A01125"/>
    <w:rsid w:val="00A07AEB"/>
    <w:rsid w:val="00A233C0"/>
    <w:rsid w:val="00A2440B"/>
    <w:rsid w:val="00A266BF"/>
    <w:rsid w:val="00A4659F"/>
    <w:rsid w:val="00A54602"/>
    <w:rsid w:val="00A54F86"/>
    <w:rsid w:val="00A563F1"/>
    <w:rsid w:val="00A66F4F"/>
    <w:rsid w:val="00A70069"/>
    <w:rsid w:val="00A81434"/>
    <w:rsid w:val="00AA3329"/>
    <w:rsid w:val="00AB23E5"/>
    <w:rsid w:val="00AC2CC8"/>
    <w:rsid w:val="00AC56AF"/>
    <w:rsid w:val="00AD00D9"/>
    <w:rsid w:val="00AD4FAB"/>
    <w:rsid w:val="00AF57D7"/>
    <w:rsid w:val="00AF6168"/>
    <w:rsid w:val="00AF6CAB"/>
    <w:rsid w:val="00B023C7"/>
    <w:rsid w:val="00B0347A"/>
    <w:rsid w:val="00B0503C"/>
    <w:rsid w:val="00B053D4"/>
    <w:rsid w:val="00B13894"/>
    <w:rsid w:val="00B14FD5"/>
    <w:rsid w:val="00B15A92"/>
    <w:rsid w:val="00B15C9E"/>
    <w:rsid w:val="00B203F4"/>
    <w:rsid w:val="00B24EB7"/>
    <w:rsid w:val="00B30D91"/>
    <w:rsid w:val="00B31651"/>
    <w:rsid w:val="00B3173C"/>
    <w:rsid w:val="00B3690C"/>
    <w:rsid w:val="00B36A2F"/>
    <w:rsid w:val="00B40FB0"/>
    <w:rsid w:val="00B41385"/>
    <w:rsid w:val="00B42ABB"/>
    <w:rsid w:val="00B43FC1"/>
    <w:rsid w:val="00B451E9"/>
    <w:rsid w:val="00B500FC"/>
    <w:rsid w:val="00B62C37"/>
    <w:rsid w:val="00B673DC"/>
    <w:rsid w:val="00B770FE"/>
    <w:rsid w:val="00B7792E"/>
    <w:rsid w:val="00B80D2C"/>
    <w:rsid w:val="00B86A3D"/>
    <w:rsid w:val="00B91F93"/>
    <w:rsid w:val="00B9411E"/>
    <w:rsid w:val="00B94803"/>
    <w:rsid w:val="00B97642"/>
    <w:rsid w:val="00BA4932"/>
    <w:rsid w:val="00BB407C"/>
    <w:rsid w:val="00BB67EB"/>
    <w:rsid w:val="00BD550B"/>
    <w:rsid w:val="00BD67DE"/>
    <w:rsid w:val="00BE1AB1"/>
    <w:rsid w:val="00BE6120"/>
    <w:rsid w:val="00BE7524"/>
    <w:rsid w:val="00BF0529"/>
    <w:rsid w:val="00BF43FA"/>
    <w:rsid w:val="00BF58D0"/>
    <w:rsid w:val="00C00761"/>
    <w:rsid w:val="00C00B2E"/>
    <w:rsid w:val="00C02FCF"/>
    <w:rsid w:val="00C03ED6"/>
    <w:rsid w:val="00C05380"/>
    <w:rsid w:val="00C07B05"/>
    <w:rsid w:val="00C13097"/>
    <w:rsid w:val="00C162CD"/>
    <w:rsid w:val="00C251B4"/>
    <w:rsid w:val="00C25EE4"/>
    <w:rsid w:val="00C26CC3"/>
    <w:rsid w:val="00C27C6E"/>
    <w:rsid w:val="00C41029"/>
    <w:rsid w:val="00C446AF"/>
    <w:rsid w:val="00C46943"/>
    <w:rsid w:val="00C548FB"/>
    <w:rsid w:val="00C624F1"/>
    <w:rsid w:val="00C6273E"/>
    <w:rsid w:val="00C63C81"/>
    <w:rsid w:val="00C66441"/>
    <w:rsid w:val="00C6761E"/>
    <w:rsid w:val="00C72F01"/>
    <w:rsid w:val="00C7662F"/>
    <w:rsid w:val="00C76FBB"/>
    <w:rsid w:val="00C800F2"/>
    <w:rsid w:val="00C80531"/>
    <w:rsid w:val="00C813DD"/>
    <w:rsid w:val="00C817AB"/>
    <w:rsid w:val="00C81F09"/>
    <w:rsid w:val="00C85917"/>
    <w:rsid w:val="00C86916"/>
    <w:rsid w:val="00C91916"/>
    <w:rsid w:val="00C9255B"/>
    <w:rsid w:val="00C97136"/>
    <w:rsid w:val="00CB290D"/>
    <w:rsid w:val="00CB5323"/>
    <w:rsid w:val="00CB5D7E"/>
    <w:rsid w:val="00CC3018"/>
    <w:rsid w:val="00CC6347"/>
    <w:rsid w:val="00CD0574"/>
    <w:rsid w:val="00CD1172"/>
    <w:rsid w:val="00CD24E6"/>
    <w:rsid w:val="00CD42C9"/>
    <w:rsid w:val="00CD782B"/>
    <w:rsid w:val="00CE262C"/>
    <w:rsid w:val="00CE3847"/>
    <w:rsid w:val="00D00787"/>
    <w:rsid w:val="00D023F4"/>
    <w:rsid w:val="00D04FE6"/>
    <w:rsid w:val="00D11C39"/>
    <w:rsid w:val="00D30BBD"/>
    <w:rsid w:val="00D30D81"/>
    <w:rsid w:val="00D3799D"/>
    <w:rsid w:val="00D40A7E"/>
    <w:rsid w:val="00D40B3C"/>
    <w:rsid w:val="00D478B2"/>
    <w:rsid w:val="00D60B51"/>
    <w:rsid w:val="00D65A76"/>
    <w:rsid w:val="00D7215A"/>
    <w:rsid w:val="00D7229F"/>
    <w:rsid w:val="00D735C6"/>
    <w:rsid w:val="00D84249"/>
    <w:rsid w:val="00D85E19"/>
    <w:rsid w:val="00D92A77"/>
    <w:rsid w:val="00DA2720"/>
    <w:rsid w:val="00DB29C1"/>
    <w:rsid w:val="00DB40BA"/>
    <w:rsid w:val="00DC0E52"/>
    <w:rsid w:val="00DC281D"/>
    <w:rsid w:val="00DD138F"/>
    <w:rsid w:val="00DD28CA"/>
    <w:rsid w:val="00DD404C"/>
    <w:rsid w:val="00DE0FD1"/>
    <w:rsid w:val="00DE2136"/>
    <w:rsid w:val="00DE4F90"/>
    <w:rsid w:val="00DF083C"/>
    <w:rsid w:val="00E02823"/>
    <w:rsid w:val="00E13739"/>
    <w:rsid w:val="00E147D7"/>
    <w:rsid w:val="00E16916"/>
    <w:rsid w:val="00E1738B"/>
    <w:rsid w:val="00E21339"/>
    <w:rsid w:val="00E30406"/>
    <w:rsid w:val="00E32087"/>
    <w:rsid w:val="00E34B62"/>
    <w:rsid w:val="00E45714"/>
    <w:rsid w:val="00E4770E"/>
    <w:rsid w:val="00E52A42"/>
    <w:rsid w:val="00E54C87"/>
    <w:rsid w:val="00E54ECA"/>
    <w:rsid w:val="00E60C33"/>
    <w:rsid w:val="00E60FAD"/>
    <w:rsid w:val="00E66D8C"/>
    <w:rsid w:val="00E71BCE"/>
    <w:rsid w:val="00E76E26"/>
    <w:rsid w:val="00E77BB9"/>
    <w:rsid w:val="00E80B6B"/>
    <w:rsid w:val="00E87209"/>
    <w:rsid w:val="00E9186B"/>
    <w:rsid w:val="00EA163E"/>
    <w:rsid w:val="00EB704E"/>
    <w:rsid w:val="00EC07D9"/>
    <w:rsid w:val="00EC6CAD"/>
    <w:rsid w:val="00ED0750"/>
    <w:rsid w:val="00ED1241"/>
    <w:rsid w:val="00EE3699"/>
    <w:rsid w:val="00EF2BF1"/>
    <w:rsid w:val="00EF5CA5"/>
    <w:rsid w:val="00EF65E1"/>
    <w:rsid w:val="00EF7F3A"/>
    <w:rsid w:val="00F03078"/>
    <w:rsid w:val="00F04D44"/>
    <w:rsid w:val="00F074B5"/>
    <w:rsid w:val="00F123E9"/>
    <w:rsid w:val="00F16BD1"/>
    <w:rsid w:val="00F2170D"/>
    <w:rsid w:val="00F31344"/>
    <w:rsid w:val="00F476EC"/>
    <w:rsid w:val="00F55819"/>
    <w:rsid w:val="00F60512"/>
    <w:rsid w:val="00F61F47"/>
    <w:rsid w:val="00F64EFD"/>
    <w:rsid w:val="00F65ADF"/>
    <w:rsid w:val="00F832AD"/>
    <w:rsid w:val="00F83B09"/>
    <w:rsid w:val="00F85A4C"/>
    <w:rsid w:val="00F913D9"/>
    <w:rsid w:val="00F950E3"/>
    <w:rsid w:val="00F95FDC"/>
    <w:rsid w:val="00FA142D"/>
    <w:rsid w:val="00FB5FDB"/>
    <w:rsid w:val="00FB7E93"/>
    <w:rsid w:val="00FC6C4E"/>
    <w:rsid w:val="00FD07F1"/>
    <w:rsid w:val="00FD5133"/>
    <w:rsid w:val="00FD6989"/>
    <w:rsid w:val="00FD6D76"/>
    <w:rsid w:val="00FE0107"/>
    <w:rsid w:val="00FE23BF"/>
    <w:rsid w:val="00FF2694"/>
    <w:rsid w:val="00FF2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 w:type="paragraph" w:styleId="Sprechblasentext">
    <w:name w:val="Balloon Text"/>
    <w:basedOn w:val="Standard"/>
    <w:link w:val="SprechblasentextZchn"/>
    <w:uiPriority w:val="99"/>
    <w:semiHidden/>
    <w:unhideWhenUsed/>
    <w:rsid w:val="001E5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344"/>
    <w:rPr>
      <w:rFonts w:ascii="Segoe UI" w:hAnsi="Segoe UI" w:cs="Segoe UI"/>
      <w:sz w:val="18"/>
      <w:szCs w:val="18"/>
    </w:rPr>
  </w:style>
  <w:style w:type="paragraph" w:styleId="Listenabsatz">
    <w:name w:val="List Paragraph"/>
    <w:basedOn w:val="Standard"/>
    <w:uiPriority w:val="34"/>
    <w:qFormat/>
    <w:rsid w:val="00D11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11802">
      <w:bodyDiv w:val="1"/>
      <w:marLeft w:val="0"/>
      <w:marRight w:val="0"/>
      <w:marTop w:val="0"/>
      <w:marBottom w:val="0"/>
      <w:divBdr>
        <w:top w:val="none" w:sz="0" w:space="0" w:color="auto"/>
        <w:left w:val="none" w:sz="0" w:space="0" w:color="auto"/>
        <w:bottom w:val="none" w:sz="0" w:space="0" w:color="auto"/>
        <w:right w:val="none" w:sz="0" w:space="0" w:color="auto"/>
      </w:divBdr>
    </w:div>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418">
      <w:bodyDiv w:val="1"/>
      <w:marLeft w:val="0"/>
      <w:marRight w:val="0"/>
      <w:marTop w:val="0"/>
      <w:marBottom w:val="0"/>
      <w:divBdr>
        <w:top w:val="none" w:sz="0" w:space="0" w:color="auto"/>
        <w:left w:val="none" w:sz="0" w:space="0" w:color="auto"/>
        <w:bottom w:val="none" w:sz="0" w:space="0" w:color="auto"/>
        <w:right w:val="none" w:sz="0" w:space="0" w:color="auto"/>
      </w:divBdr>
    </w:div>
    <w:div w:id="934627728">
      <w:bodyDiv w:val="1"/>
      <w:marLeft w:val="0"/>
      <w:marRight w:val="0"/>
      <w:marTop w:val="0"/>
      <w:marBottom w:val="0"/>
      <w:divBdr>
        <w:top w:val="none" w:sz="0" w:space="0" w:color="auto"/>
        <w:left w:val="none" w:sz="0" w:space="0" w:color="auto"/>
        <w:bottom w:val="none" w:sz="0" w:space="0" w:color="auto"/>
        <w:right w:val="none" w:sz="0" w:space="0" w:color="auto"/>
      </w:divBdr>
      <w:divsChild>
        <w:div w:id="141850548">
          <w:marLeft w:val="0"/>
          <w:marRight w:val="0"/>
          <w:marTop w:val="0"/>
          <w:marBottom w:val="0"/>
          <w:divBdr>
            <w:top w:val="none" w:sz="0" w:space="0" w:color="auto"/>
            <w:left w:val="none" w:sz="0" w:space="0" w:color="auto"/>
            <w:bottom w:val="none" w:sz="0" w:space="0" w:color="auto"/>
            <w:right w:val="none" w:sz="0" w:space="0" w:color="auto"/>
          </w:divBdr>
        </w:div>
        <w:div w:id="1855001222">
          <w:marLeft w:val="0"/>
          <w:marRight w:val="0"/>
          <w:marTop w:val="0"/>
          <w:marBottom w:val="0"/>
          <w:divBdr>
            <w:top w:val="none" w:sz="0" w:space="0" w:color="auto"/>
            <w:left w:val="none" w:sz="0" w:space="0" w:color="auto"/>
            <w:bottom w:val="none" w:sz="0" w:space="0" w:color="auto"/>
            <w:right w:val="none" w:sz="0" w:space="0" w:color="auto"/>
          </w:divBdr>
        </w:div>
      </w:divsChild>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 w:id="1349211757">
      <w:bodyDiv w:val="1"/>
      <w:marLeft w:val="0"/>
      <w:marRight w:val="0"/>
      <w:marTop w:val="0"/>
      <w:marBottom w:val="0"/>
      <w:divBdr>
        <w:top w:val="none" w:sz="0" w:space="0" w:color="auto"/>
        <w:left w:val="none" w:sz="0" w:space="0" w:color="auto"/>
        <w:bottom w:val="none" w:sz="0" w:space="0" w:color="auto"/>
        <w:right w:val="none" w:sz="0" w:space="0" w:color="auto"/>
      </w:divBdr>
    </w:div>
    <w:div w:id="1495955721">
      <w:bodyDiv w:val="1"/>
      <w:marLeft w:val="0"/>
      <w:marRight w:val="0"/>
      <w:marTop w:val="0"/>
      <w:marBottom w:val="0"/>
      <w:divBdr>
        <w:top w:val="none" w:sz="0" w:space="0" w:color="auto"/>
        <w:left w:val="none" w:sz="0" w:space="0" w:color="auto"/>
        <w:bottom w:val="none" w:sz="0" w:space="0" w:color="auto"/>
        <w:right w:val="none" w:sz="0" w:space="0" w:color="auto"/>
      </w:divBdr>
    </w:div>
    <w:div w:id="1569270416">
      <w:bodyDiv w:val="1"/>
      <w:marLeft w:val="0"/>
      <w:marRight w:val="0"/>
      <w:marTop w:val="0"/>
      <w:marBottom w:val="0"/>
      <w:divBdr>
        <w:top w:val="none" w:sz="0" w:space="0" w:color="auto"/>
        <w:left w:val="none" w:sz="0" w:space="0" w:color="auto"/>
        <w:bottom w:val="none" w:sz="0" w:space="0" w:color="auto"/>
        <w:right w:val="none" w:sz="0" w:space="0" w:color="auto"/>
      </w:divBdr>
    </w:div>
    <w:div w:id="159509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8fb8b42d-84ad-4694-a204-ddc0e73922cf</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38EA0-7DF5-477E-B9B4-8A9A77B51D61}">
  <ds:schemaRefs>
    <ds:schemaRef ds:uri="http://www.datev.de/BSOffice/999929"/>
  </ds:schemaRefs>
</ds:datastoreItem>
</file>

<file path=customXml/itemProps2.xml><?xml version="1.0" encoding="utf-8"?>
<ds:datastoreItem xmlns:ds="http://schemas.openxmlformats.org/officeDocument/2006/customXml" ds:itemID="{FEC9DCCD-1314-4720-B978-1FB0BE6A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7919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Schmidt-Eberth</dc:creator>
  <cp:lastModifiedBy>Jens Becker-Platen</cp:lastModifiedBy>
  <cp:revision>10</cp:revision>
  <cp:lastPrinted>2019-01-17T09:30:00Z</cp:lastPrinted>
  <dcterms:created xsi:type="dcterms:W3CDTF">2020-07-01T10:12:00Z</dcterms:created>
  <dcterms:modified xsi:type="dcterms:W3CDTF">2020-07-31T12:53:00Z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000424-2013/001:00</vt:lpwstr>
  </property>
  <property fmtid="{D5CDD505-2E9C-101B-9397-08002B2CF9AE}" pid="3" name="DATEV-DMS_MANDANT_BEZ">
    <vt:lpwstr>Urteile und Entscheidungen              E-Akte</vt:lpwstr>
  </property>
  <property fmtid="{D5CDD505-2E9C-101B-9397-08002B2CF9AE}" pid="4" name="DATEV-DMS_DOKU_NR">
    <vt:lpwstr>524541</vt:lpwstr>
  </property>
  <property fmtid="{D5CDD505-2E9C-101B-9397-08002B2CF9AE}" pid="5" name="DATEV-DMS_BETREFF">
    <vt:lpwstr>Mandantenrundbrief August 2020</vt:lpwstr>
  </property>
</Properties>
</file>