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DE2136">
                              <w:rPr>
                                <w:b/>
                                <w:sz w:val="28"/>
                              </w:rPr>
                              <w:t>Januar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DE2136">
                        <w:rPr>
                          <w:b/>
                          <w:sz w:val="28"/>
                        </w:rPr>
                        <w:t>Januar 2020</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6D5D8C" w:rsidRDefault="006D5D8C" w:rsidP="007C427B">
      <w:pPr>
        <w:pStyle w:val="KeinLeerraum"/>
        <w:jc w:val="both"/>
        <w:rPr>
          <w:rFonts w:cs="Times New Roman"/>
        </w:rPr>
      </w:pPr>
    </w:p>
    <w:p w:rsidR="00DE2136" w:rsidRDefault="00DE2136" w:rsidP="00DE2136">
      <w:pPr>
        <w:pStyle w:val="KeinLeerraum"/>
        <w:jc w:val="both"/>
        <w:rPr>
          <w:rFonts w:cs="Times New Roman"/>
        </w:rPr>
      </w:pPr>
      <w:r>
        <w:rPr>
          <w:rFonts w:cs="Times New Roman"/>
        </w:rPr>
        <w:t xml:space="preserve">Der </w:t>
      </w:r>
      <w:r>
        <w:rPr>
          <w:rFonts w:cs="Times New Roman"/>
          <w:b/>
        </w:rPr>
        <w:t>BGH</w:t>
      </w:r>
      <w:r>
        <w:rPr>
          <w:rFonts w:cs="Times New Roman"/>
        </w:rPr>
        <w:t xml:space="preserve"> hat mit Urteil vom 21.08.2019 entschieden, dass dann, wenn der auf Schadensersatz wegen teilweisen Entfernens der bei Mietbeginn vorhandenen Tapeten verklagte Mieter geltend macht, diese seien, weil bereits ca. 30 Jahre alt und für ein nochmaliges Überstreichen ungeeignet, wertlos gewesen, dem Vermieter kein Schadensersatz zugesprochen werden darf, ohne dass zu Alter und Zustand jener Dekoration der Mieträume Feststellungen getroffen werden, zumal der Vermieter die entsprechende Feststellungslast trägt. Den Wert einer völlig verschlissenen Dekoration im Schadensersatzprozess des Vermieters gegen den diese Dekoration teilweise entfernenden Mieter fast mit dem Neuwert anzusetzen (80 %), ist auch dann nicht nachvollziehbar, wenn man unterstellt, dass der Vermieter die Mieträume mit einer renovierungsbedürftigen Dekoration oder weiteres hätte weitervermieten können. </w:t>
      </w:r>
    </w:p>
    <w:p w:rsidR="00686F3A" w:rsidRDefault="00686F3A" w:rsidP="00DE2136">
      <w:pPr>
        <w:pStyle w:val="KeinLeerraum"/>
        <w:jc w:val="both"/>
        <w:rPr>
          <w:rFonts w:cs="Times New Roman"/>
        </w:rPr>
      </w:pPr>
    </w:p>
    <w:p w:rsidR="00686F3A" w:rsidRDefault="00686F3A" w:rsidP="00DE2136">
      <w:pPr>
        <w:pStyle w:val="KeinLeerraum"/>
        <w:jc w:val="both"/>
        <w:rPr>
          <w:rFonts w:cs="Times New Roman"/>
        </w:rPr>
      </w:pPr>
      <w:r w:rsidRPr="00686F3A">
        <w:rPr>
          <w:rFonts w:cs="Times New Roman"/>
        </w:rPr>
        <w:t xml:space="preserve">Das </w:t>
      </w:r>
      <w:r w:rsidRPr="00686F3A">
        <w:rPr>
          <w:rFonts w:cs="Times New Roman"/>
          <w:b/>
        </w:rPr>
        <w:t>Amtsgericht Augsburg</w:t>
      </w:r>
      <w:r w:rsidRPr="00686F3A">
        <w:rPr>
          <w:rFonts w:cs="Times New Roman"/>
        </w:rPr>
        <w:t xml:space="preserve"> hat am 10.12.2019 entschieden, dass ein Inserat zur Ve</w:t>
      </w:r>
      <w:r>
        <w:rPr>
          <w:rFonts w:cs="Times New Roman"/>
        </w:rPr>
        <w:t>rmietung einer Wohnung "nur an D</w:t>
      </w:r>
      <w:r w:rsidRPr="00686F3A">
        <w:rPr>
          <w:rFonts w:cs="Times New Roman"/>
        </w:rPr>
        <w:t>eutsche" diskriminierend ist.</w:t>
      </w:r>
      <w:r>
        <w:rPr>
          <w:rFonts w:cs="Times New Roman"/>
        </w:rPr>
        <w:t xml:space="preserve"> </w:t>
      </w:r>
      <w:r w:rsidRPr="00686F3A">
        <w:rPr>
          <w:rFonts w:cs="Times New Roman"/>
        </w:rPr>
        <w:t>Wegen Diskriminierung eines aus Afrika stammenden Mietinteressenten muss der Wohnungseigentümer 1.000,00 EUR Entschädigung zahlen. Das Amtsgericht entschied zudem, dass der Vermieter nicht noch einmal ein Inserat mit der Formulierung aufgeben dürfen, wonac</w:t>
      </w:r>
      <w:r>
        <w:rPr>
          <w:rFonts w:cs="Times New Roman"/>
        </w:rPr>
        <w:t>h er nur an D</w:t>
      </w:r>
      <w:r w:rsidRPr="00686F3A">
        <w:rPr>
          <w:rFonts w:cs="Times New Roman"/>
        </w:rPr>
        <w:t>eutsche vermiete. Ansonsten droht dem Eigentümer ein hohes Ordnungsgeld</w:t>
      </w:r>
      <w:r>
        <w:rPr>
          <w:rFonts w:cs="Times New Roman"/>
        </w:rPr>
        <w:t>.</w:t>
      </w:r>
    </w:p>
    <w:p w:rsidR="00686F3A" w:rsidRDefault="00686F3A" w:rsidP="00DE2136">
      <w:pPr>
        <w:pStyle w:val="KeinLeerraum"/>
        <w:jc w:val="both"/>
        <w:rPr>
          <w:rFonts w:cs="Times New Roman"/>
        </w:rPr>
      </w:pPr>
    </w:p>
    <w:p w:rsidR="00686F3A" w:rsidRDefault="00686F3A" w:rsidP="00DE2136">
      <w:pPr>
        <w:pStyle w:val="KeinLeerraum"/>
        <w:jc w:val="both"/>
        <w:rPr>
          <w:rFonts w:cs="Times New Roman"/>
        </w:rPr>
      </w:pPr>
      <w:r w:rsidRPr="00686F3A">
        <w:rPr>
          <w:rFonts w:cs="Times New Roman"/>
        </w:rPr>
        <w:t xml:space="preserve">Der </w:t>
      </w:r>
      <w:r w:rsidRPr="00686F3A">
        <w:rPr>
          <w:rFonts w:cs="Times New Roman"/>
          <w:b/>
        </w:rPr>
        <w:t>BGH</w:t>
      </w:r>
      <w:r w:rsidRPr="00686F3A">
        <w:rPr>
          <w:rFonts w:cs="Times New Roman"/>
        </w:rPr>
        <w:t xml:space="preserve"> hat mit Urteil vom 09.10.2019 entschieden, dass es dem Mieter versagt ist, sich auf wirtschaftliche Härtegründe gegenüber einer Modernisierungsmieterhöhung zu berufen, wenn der Vermieter mit der baulichen Maßnahme nur den allgemein üblichen Zustand herstellen will.</w:t>
      </w:r>
      <w:r>
        <w:rPr>
          <w:rFonts w:cs="Times New Roman"/>
        </w:rPr>
        <w:t xml:space="preserve"> </w:t>
      </w:r>
      <w:r w:rsidRPr="00686F3A">
        <w:rPr>
          <w:rFonts w:cs="Times New Roman"/>
        </w:rPr>
        <w:t xml:space="preserve">Ein allgemein üblicher Zustand liegt vor, wenn mindestens 2/3 aller vergleichbaren Gebäude gleichen Alters unter vergleichbaren Verhältnissen in der Region den fraglichen Zustand aufweisen. Ob dies der Fall ist, ist anhand einer tragfähigen Tatsachengrundlage festzustellen. Hierzu zählt durch (Berliner) Mietspiegel </w:t>
      </w:r>
      <w:r>
        <w:rPr>
          <w:rFonts w:cs="Times New Roman"/>
        </w:rPr>
        <w:t>für die Beurteilung von Balkonv</w:t>
      </w:r>
      <w:r w:rsidRPr="00686F3A">
        <w:rPr>
          <w:rFonts w:cs="Times New Roman"/>
        </w:rPr>
        <w:t xml:space="preserve">ergrößerungen nicht. Der </w:t>
      </w:r>
      <w:r w:rsidRPr="00686F3A">
        <w:rPr>
          <w:rFonts w:cs="Times New Roman"/>
        </w:rPr>
        <w:t>Mietspiegel treffe keine Aussagen dazu, welche Ausstattung bei welchen Gebäuden in welchem regionalen Bereich allgemein üblich sei. Vielmehr beschränkten sich die Angaben im Mietspiegel darauf, zu bewerten, ob das Vorhandensein oder Fehlen eines bestimmten Merkmals den Wohnwert positiv oder negativ beeinflusse. Das Landgericht hätte daher, falls sich die aufgeworfene Frage nicht anhand von statistischen Erhebu</w:t>
      </w:r>
      <w:r>
        <w:rPr>
          <w:rFonts w:cs="Times New Roman"/>
        </w:rPr>
        <w:t>ngen zur Üblichkeit entsprechen</w:t>
      </w:r>
      <w:r w:rsidRPr="00686F3A">
        <w:rPr>
          <w:rFonts w:cs="Times New Roman"/>
        </w:rPr>
        <w:t>der Balkone beantworten lasse, dass vom Vermieter angebotene Sachverständigengutachten einholen müssen.</w:t>
      </w:r>
    </w:p>
    <w:p w:rsidR="00E66D8C" w:rsidRDefault="00E66D8C" w:rsidP="007C427B">
      <w:pPr>
        <w:pStyle w:val="KeinLeerraum"/>
        <w:jc w:val="both"/>
        <w:rPr>
          <w:rFonts w:cs="Times New Roman"/>
        </w:rPr>
      </w:pPr>
    </w:p>
    <w:p w:rsidR="00E66D8C" w:rsidRDefault="00E66D8C" w:rsidP="007C427B">
      <w:pPr>
        <w:pStyle w:val="KeinLeerraum"/>
        <w:jc w:val="both"/>
        <w:rPr>
          <w:rFonts w:cs="Times New Roman"/>
        </w:rPr>
      </w:pPr>
    </w:p>
    <w:p w:rsidR="00E66D8C" w:rsidRDefault="00686F3A" w:rsidP="007C427B">
      <w:pPr>
        <w:pStyle w:val="KeinLeerraum"/>
        <w:jc w:val="both"/>
        <w:rPr>
          <w:rFonts w:cs="Times New Roman"/>
        </w:rPr>
      </w:pPr>
      <w:r w:rsidRPr="00686F3A">
        <w:rPr>
          <w:rFonts w:cs="Times New Roman"/>
        </w:rPr>
        <w:t xml:space="preserve">Ebenfalls mit Urteil vom 09.10.2019 hat der </w:t>
      </w:r>
      <w:r w:rsidRPr="00686F3A">
        <w:rPr>
          <w:rFonts w:cs="Times New Roman"/>
          <w:b/>
        </w:rPr>
        <w:t>BGH</w:t>
      </w:r>
      <w:r w:rsidRPr="00686F3A">
        <w:rPr>
          <w:rFonts w:cs="Times New Roman"/>
        </w:rPr>
        <w:t xml:space="preserve"> entschieden, dass in der Abwägung der Int</w:t>
      </w:r>
      <w:r>
        <w:rPr>
          <w:rFonts w:cs="Times New Roman"/>
        </w:rPr>
        <w:t>eressen, ob ein wirtschaftlicher Härteg</w:t>
      </w:r>
      <w:r w:rsidRPr="00686F3A">
        <w:rPr>
          <w:rFonts w:cs="Times New Roman"/>
        </w:rPr>
        <w:t>rund vorliegt, grundsätzlich auch der Umstand einzubeziehen ist, dass der Mieter gemessen an seinen wirtschaftlichen Verhältnissen und seinen Bedürfnissen eine deutlich zu große Wohnung nutzt. Bei der Beurteilung der Frage, ob die Wohnung unangemessen groß ist, darf als Maßstab jedoch nicht ausschließlich a</w:t>
      </w:r>
      <w:r>
        <w:rPr>
          <w:rFonts w:cs="Times New Roman"/>
        </w:rPr>
        <w:t>uf die nach den Ausführungsvors</w:t>
      </w:r>
      <w:r w:rsidRPr="00686F3A">
        <w:rPr>
          <w:rFonts w:cs="Times New Roman"/>
        </w:rPr>
        <w:t>chriften zur Gewährung von staatlichen Transferleistungen oder den Vorschriften für die Bemessung von Zuschüssen für den öffentlich geförderten Wohnungsbau vorgesehenen Wohnflächen Bezug genommen werden. Es hat immer eine Einzelfallprüfung stattzufinden, bei dem es nicht isoliert auf eine bestimmte Größe für die jeweilige Anzahl der Bewohner ankommt</w:t>
      </w:r>
      <w:r>
        <w:rPr>
          <w:rFonts w:cs="Times New Roman"/>
        </w:rPr>
        <w:t>.</w:t>
      </w:r>
    </w:p>
    <w:p w:rsidR="00686F3A" w:rsidRDefault="00686F3A" w:rsidP="007C427B">
      <w:pPr>
        <w:pStyle w:val="KeinLeerraum"/>
        <w:jc w:val="both"/>
        <w:rPr>
          <w:rFonts w:cs="Times New Roman"/>
        </w:rPr>
      </w:pPr>
    </w:p>
    <w:p w:rsidR="00686F3A" w:rsidRDefault="0006078E" w:rsidP="007C427B">
      <w:pPr>
        <w:pStyle w:val="KeinLeerraum"/>
        <w:jc w:val="both"/>
        <w:rPr>
          <w:rFonts w:cs="Times New Roman"/>
        </w:rPr>
      </w:pPr>
      <w:r w:rsidRPr="0006078E">
        <w:rPr>
          <w:rFonts w:cs="Times New Roman"/>
        </w:rPr>
        <w:t xml:space="preserve">Das </w:t>
      </w:r>
      <w:r w:rsidRPr="0006078E">
        <w:rPr>
          <w:rFonts w:cs="Times New Roman"/>
          <w:b/>
        </w:rPr>
        <w:t>Landgericht Berlin</w:t>
      </w:r>
      <w:r w:rsidRPr="0006078E">
        <w:rPr>
          <w:rFonts w:cs="Times New Roman"/>
        </w:rPr>
        <w:t xml:space="preserve"> hat mit Beschluss vom 08.08.2019 entschieden, dass der Zuschnitt und die Ausstattung der Mietsache, die der Mieter bei der letzten </w:t>
      </w:r>
      <w:r>
        <w:rPr>
          <w:rFonts w:cs="Times New Roman"/>
        </w:rPr>
        <w:t>Besichtigung vor Mietvertrags</w:t>
      </w:r>
      <w:r w:rsidRPr="0006078E">
        <w:rPr>
          <w:rFonts w:cs="Times New Roman"/>
        </w:rPr>
        <w:t>schluss oder zu Beginn des Mietverhältnisses vorgefunden hat, auch ohne ausdrückliche vertragliche Fixierung als konkludent vereinbart gelten. Später durch den Vermieter vorgenommene Änderungen stellen daher einen Mangel der Mietsache dar</w:t>
      </w:r>
      <w:r>
        <w:rPr>
          <w:rFonts w:cs="Times New Roman"/>
        </w:rPr>
        <w:t>. Verändert</w:t>
      </w:r>
      <w:r w:rsidRPr="0006078E">
        <w:rPr>
          <w:rFonts w:cs="Times New Roman"/>
        </w:rPr>
        <w:t xml:space="preserve"> der Vermieter den </w:t>
      </w:r>
      <w:r>
        <w:rPr>
          <w:rFonts w:cs="Times New Roman"/>
        </w:rPr>
        <w:t>vertrags</w:t>
      </w:r>
      <w:r w:rsidRPr="0006078E">
        <w:rPr>
          <w:rFonts w:cs="Times New Roman"/>
        </w:rPr>
        <w:t>gemäßen Sollzustand trifft ihn eine Rückbauverpflichtung.</w:t>
      </w:r>
    </w:p>
    <w:p w:rsidR="0006078E" w:rsidRDefault="0006078E" w:rsidP="007C427B">
      <w:pPr>
        <w:pStyle w:val="KeinLeerraum"/>
        <w:jc w:val="both"/>
        <w:rPr>
          <w:rFonts w:cs="Times New Roman"/>
        </w:rPr>
      </w:pPr>
    </w:p>
    <w:p w:rsidR="0006078E" w:rsidRDefault="0006078E" w:rsidP="007C427B">
      <w:pPr>
        <w:pStyle w:val="KeinLeerraum"/>
        <w:jc w:val="both"/>
        <w:rPr>
          <w:rFonts w:cs="Times New Roman"/>
        </w:rPr>
      </w:pPr>
      <w:r w:rsidRPr="0006078E">
        <w:rPr>
          <w:rFonts w:cs="Times New Roman"/>
        </w:rPr>
        <w:t xml:space="preserve">Das </w:t>
      </w:r>
      <w:r w:rsidRPr="0006078E">
        <w:rPr>
          <w:rFonts w:cs="Times New Roman"/>
          <w:b/>
        </w:rPr>
        <w:t>OLG Dresden</w:t>
      </w:r>
      <w:r w:rsidRPr="0006078E">
        <w:rPr>
          <w:rFonts w:cs="Times New Roman"/>
        </w:rPr>
        <w:t xml:space="preserve"> hat mit Urteil vom 20.08.2019 entschieden, dass der Eigentümer, </w:t>
      </w:r>
      <w:r>
        <w:rPr>
          <w:rFonts w:cs="Times New Roman"/>
        </w:rPr>
        <w:t>bei Schlüsselv</w:t>
      </w:r>
      <w:r w:rsidRPr="0006078E">
        <w:rPr>
          <w:rFonts w:cs="Times New Roman"/>
        </w:rPr>
        <w:t xml:space="preserve">erlust zu einer Schließanlage sowohl die Kosten für den Austausch der Anlage als auch für provisorische Sicherungsmaßnahmen verlangen kann. Der Anspruch auf Schadensersatz für provisorische Sicherungsmaßnahmen besteht allerdings nur, wenn die </w:t>
      </w:r>
      <w:r w:rsidRPr="0006078E">
        <w:rPr>
          <w:rFonts w:cs="Times New Roman"/>
        </w:rPr>
        <w:lastRenderedPageBreak/>
        <w:t>konkrete Gefahr eines Missbrauchs der verloren gegangenen Schlüssel besteht. Vom Schadensersatzanspruch ist immer ein Abzug 'neu für alt' vorzunehmen</w:t>
      </w:r>
      <w:r>
        <w:rPr>
          <w:rFonts w:cs="Times New Roman"/>
        </w:rPr>
        <w:t>.</w:t>
      </w:r>
    </w:p>
    <w:p w:rsidR="0006078E" w:rsidRDefault="0006078E" w:rsidP="007C427B">
      <w:pPr>
        <w:pStyle w:val="KeinLeerraum"/>
        <w:jc w:val="both"/>
        <w:rPr>
          <w:rFonts w:cs="Times New Roman"/>
        </w:rPr>
      </w:pPr>
    </w:p>
    <w:p w:rsidR="0006078E" w:rsidRDefault="0006078E" w:rsidP="007C427B">
      <w:pPr>
        <w:pStyle w:val="KeinLeerraum"/>
        <w:jc w:val="both"/>
        <w:rPr>
          <w:rFonts w:cs="Times New Roman"/>
        </w:rPr>
      </w:pPr>
      <w:r w:rsidRPr="0006078E">
        <w:rPr>
          <w:rFonts w:cs="Times New Roman"/>
        </w:rPr>
        <w:t xml:space="preserve">Das </w:t>
      </w:r>
      <w:r w:rsidRPr="0006078E">
        <w:rPr>
          <w:rFonts w:cs="Times New Roman"/>
          <w:b/>
        </w:rPr>
        <w:t>OLG Frankfurt</w:t>
      </w:r>
      <w:r w:rsidRPr="0006078E">
        <w:rPr>
          <w:rFonts w:cs="Times New Roman"/>
        </w:rPr>
        <w:t xml:space="preserve"> hat mit Urteil vom 19.09.2019 entschieden dass eine Wohnungseigentümergemeinschaft von einer anderen Wohnungseigentümergemeinschaft dasjenige nach § 812 Abs. 1 Satz 1 Alternative </w:t>
      </w:r>
      <w:r>
        <w:rPr>
          <w:rFonts w:cs="Times New Roman"/>
        </w:rPr>
        <w:t>2</w:t>
      </w:r>
      <w:r w:rsidRPr="0006078E">
        <w:rPr>
          <w:rFonts w:cs="Times New Roman"/>
        </w:rPr>
        <w:t xml:space="preserve"> BGB zurückfordern kann, was der gemeinsame Verwalter zur Verschleierung betrügerischer Entnahmen dorthin überwiesen hat. Die beklagte Wohnungseigentümergemeinschaft kann sich nicht auf den Wegfall der Bereicherung berufen, weil ihr die Kenntnis des Verwalters als ihres Vertreters zuzurechnen ist.</w:t>
      </w:r>
    </w:p>
    <w:p w:rsidR="0006078E" w:rsidRDefault="0006078E" w:rsidP="007C427B">
      <w:pPr>
        <w:pStyle w:val="KeinLeerraum"/>
        <w:jc w:val="both"/>
        <w:rPr>
          <w:rFonts w:cs="Times New Roman"/>
        </w:rPr>
      </w:pPr>
    </w:p>
    <w:p w:rsidR="0006078E" w:rsidRDefault="0006078E" w:rsidP="007C427B">
      <w:pPr>
        <w:pStyle w:val="KeinLeerraum"/>
        <w:jc w:val="both"/>
        <w:rPr>
          <w:rFonts w:cs="Times New Roman"/>
        </w:rPr>
      </w:pPr>
      <w:r w:rsidRPr="0006078E">
        <w:rPr>
          <w:rFonts w:cs="Times New Roman"/>
        </w:rPr>
        <w:t xml:space="preserve">Das </w:t>
      </w:r>
      <w:r w:rsidRPr="0006078E">
        <w:rPr>
          <w:rFonts w:cs="Times New Roman"/>
          <w:b/>
        </w:rPr>
        <w:t>Landgericht Berlin</w:t>
      </w:r>
      <w:r w:rsidRPr="0006078E">
        <w:rPr>
          <w:rFonts w:cs="Times New Roman"/>
        </w:rPr>
        <w:t xml:space="preserve"> hat mit Urteil vom 28.05.2019 entschieden, dass eine Teileinheit, die nach Teilungserklärung als "Laden, Büro, Praxis oder Gastronomiebetrieb" genutzt werden darf, auch für den Betrieb eines </w:t>
      </w:r>
      <w:r w:rsidR="00900652">
        <w:rPr>
          <w:rFonts w:cs="Times New Roman"/>
        </w:rPr>
        <w:t xml:space="preserve">Hostels mit Sleepboxen </w:t>
      </w:r>
      <w:r w:rsidRPr="0006078E">
        <w:rPr>
          <w:rFonts w:cs="Times New Roman"/>
        </w:rPr>
        <w:t>genutzt werden kann</w:t>
      </w:r>
      <w:r w:rsidR="00900652">
        <w:rPr>
          <w:rFonts w:cs="Times New Roman"/>
        </w:rPr>
        <w:t xml:space="preserve">. </w:t>
      </w:r>
    </w:p>
    <w:p w:rsidR="00900652" w:rsidRDefault="00900652" w:rsidP="007C427B">
      <w:pPr>
        <w:pStyle w:val="KeinLeerraum"/>
        <w:jc w:val="both"/>
        <w:rPr>
          <w:rFonts w:cs="Times New Roman"/>
        </w:rPr>
      </w:pPr>
    </w:p>
    <w:p w:rsidR="00900652" w:rsidRDefault="00900652" w:rsidP="007C427B">
      <w:pPr>
        <w:pStyle w:val="KeinLeerraum"/>
        <w:jc w:val="both"/>
        <w:rPr>
          <w:rFonts w:cs="Times New Roman"/>
        </w:rPr>
      </w:pPr>
      <w:r w:rsidRPr="00900652">
        <w:rPr>
          <w:rFonts w:cs="Times New Roman"/>
        </w:rPr>
        <w:t xml:space="preserve">Der </w:t>
      </w:r>
      <w:r w:rsidRPr="00900652">
        <w:rPr>
          <w:rFonts w:cs="Times New Roman"/>
          <w:b/>
        </w:rPr>
        <w:t>BGH</w:t>
      </w:r>
      <w:r w:rsidRPr="00900652">
        <w:rPr>
          <w:rFonts w:cs="Times New Roman"/>
        </w:rPr>
        <w:t xml:space="preserve"> hat mit Urteil vom 22.05.2019 entschieden, dass dann, wenn ein Mieter unter Vorlage eines </w:t>
      </w:r>
      <w:r>
        <w:rPr>
          <w:rFonts w:cs="Times New Roman"/>
        </w:rPr>
        <w:t xml:space="preserve">ärztlichen Attestes geltend macht, ihm sei </w:t>
      </w:r>
      <w:r w:rsidRPr="00900652">
        <w:rPr>
          <w:rFonts w:cs="Times New Roman"/>
        </w:rPr>
        <w:t>Umzug wegen einer schweren Erkrankung nicht zuzumuten, im Fall des Bestreitens dieses Vortrags regelmäßig die Einholung eines Sachverständigengutachtens zu der Art, dem Umfang und den konkreten Auswirkungen der beschriebenen Erkra</w:t>
      </w:r>
      <w:r>
        <w:rPr>
          <w:rFonts w:cs="Times New Roman"/>
        </w:rPr>
        <w:t>nkung auf die Lebensführung des b</w:t>
      </w:r>
      <w:r w:rsidRPr="00900652">
        <w:rPr>
          <w:rFonts w:cs="Times New Roman"/>
        </w:rPr>
        <w:t xml:space="preserve">etroffenen Mieters im Allgemeinen und im Fall des Verlusts der </w:t>
      </w:r>
      <w:r>
        <w:rPr>
          <w:rFonts w:cs="Times New Roman"/>
        </w:rPr>
        <w:t>ver-</w:t>
      </w:r>
      <w:r w:rsidRPr="00900652">
        <w:rPr>
          <w:rFonts w:cs="Times New Roman"/>
        </w:rPr>
        <w:t xml:space="preserve"> trauten Umgebung erforderlich ist</w:t>
      </w:r>
      <w:r>
        <w:rPr>
          <w:rFonts w:cs="Times New Roman"/>
        </w:rPr>
        <w:t>.</w:t>
      </w:r>
    </w:p>
    <w:p w:rsidR="00900652" w:rsidRDefault="00900652" w:rsidP="007C427B">
      <w:pPr>
        <w:pStyle w:val="KeinLeerraum"/>
        <w:jc w:val="both"/>
        <w:rPr>
          <w:rFonts w:cs="Times New Roman"/>
        </w:rPr>
      </w:pPr>
    </w:p>
    <w:p w:rsidR="00900652" w:rsidRDefault="00900652" w:rsidP="007C427B">
      <w:pPr>
        <w:pStyle w:val="KeinLeerraum"/>
        <w:jc w:val="both"/>
        <w:rPr>
          <w:rFonts w:cs="Times New Roman"/>
        </w:rPr>
      </w:pPr>
      <w:r w:rsidRPr="00900652">
        <w:rPr>
          <w:rFonts w:cs="Times New Roman"/>
        </w:rPr>
        <w:t xml:space="preserve">Das </w:t>
      </w:r>
      <w:r w:rsidRPr="00900652">
        <w:rPr>
          <w:rFonts w:cs="Times New Roman"/>
          <w:b/>
        </w:rPr>
        <w:t>OLG Frankfurt</w:t>
      </w:r>
      <w:r w:rsidRPr="00900652">
        <w:rPr>
          <w:rFonts w:cs="Times New Roman"/>
        </w:rPr>
        <w:t xml:space="preserve"> hat mit Urteil vom 13.09.2019 entschieden, dass dann, wenn die Voraussetzungen des für Wohnra</w:t>
      </w:r>
      <w:r>
        <w:rPr>
          <w:rFonts w:cs="Times New Roman"/>
        </w:rPr>
        <w:t>um geltenden § 940a Abs. 2 ZPO v</w:t>
      </w:r>
      <w:r w:rsidRPr="00900652">
        <w:rPr>
          <w:rFonts w:cs="Times New Roman"/>
        </w:rPr>
        <w:t>orliegen (Vermieter hat Räumu</w:t>
      </w:r>
      <w:r>
        <w:rPr>
          <w:rFonts w:cs="Times New Roman"/>
        </w:rPr>
        <w:t>ngstitel gegen Meter, aber ein D</w:t>
      </w:r>
      <w:r w:rsidRPr="00900652">
        <w:rPr>
          <w:rFonts w:cs="Times New Roman"/>
        </w:rPr>
        <w:t xml:space="preserve">ritter nutzt das Mietobjekt, </w:t>
      </w:r>
      <w:r>
        <w:rPr>
          <w:rFonts w:cs="Times New Roman"/>
        </w:rPr>
        <w:t>was</w:t>
      </w:r>
      <w:r w:rsidRPr="00900652">
        <w:rPr>
          <w:rFonts w:cs="Times New Roman"/>
        </w:rPr>
        <w:t xml:space="preserve"> der Vermieter erst nach Erlass des </w:t>
      </w:r>
      <w:r>
        <w:rPr>
          <w:rFonts w:cs="Times New Roman"/>
        </w:rPr>
        <w:t>Urteils</w:t>
      </w:r>
      <w:r w:rsidRPr="00900652">
        <w:rPr>
          <w:rFonts w:cs="Times New Roman"/>
        </w:rPr>
        <w:t xml:space="preserve"> erfährt), kann auch die Räumung von Gewerberaum per einstweiliger Verfügung angeordnet werden. § 940a Abs. 2 ZPO ist zwar weder direkt noch analog auf Gewerberäume anwendbar. Die Wertung ist aber übertragbar.</w:t>
      </w:r>
    </w:p>
    <w:p w:rsidR="00900652" w:rsidRDefault="00900652" w:rsidP="007C427B">
      <w:pPr>
        <w:pStyle w:val="KeinLeerraum"/>
        <w:jc w:val="both"/>
        <w:rPr>
          <w:rFonts w:cs="Times New Roman"/>
        </w:rPr>
      </w:pPr>
    </w:p>
    <w:p w:rsidR="00900652" w:rsidRDefault="00326D33" w:rsidP="007C427B">
      <w:pPr>
        <w:pStyle w:val="KeinLeerraum"/>
        <w:jc w:val="both"/>
        <w:rPr>
          <w:rFonts w:cs="Times New Roman"/>
        </w:rPr>
      </w:pPr>
      <w:r w:rsidRPr="00326D33">
        <w:rPr>
          <w:rFonts w:cs="Times New Roman"/>
        </w:rPr>
        <w:t xml:space="preserve">Der </w:t>
      </w:r>
      <w:r w:rsidRPr="00326D33">
        <w:rPr>
          <w:rFonts w:cs="Times New Roman"/>
          <w:b/>
        </w:rPr>
        <w:t>BGH</w:t>
      </w:r>
      <w:r w:rsidRPr="00326D33">
        <w:rPr>
          <w:rFonts w:cs="Times New Roman"/>
        </w:rPr>
        <w:t xml:space="preserve"> hat mit Urteil vom 04.09.2019 entschieden, dass dann, wenn die M</w:t>
      </w:r>
      <w:r>
        <w:rPr>
          <w:rFonts w:cs="Times New Roman"/>
        </w:rPr>
        <w:t>i</w:t>
      </w:r>
      <w:r w:rsidRPr="00326D33">
        <w:rPr>
          <w:rFonts w:cs="Times New Roman"/>
        </w:rPr>
        <w:t xml:space="preserve">eter jenseits einer vertraglichen Regelung von seinem Vermieter das </w:t>
      </w:r>
      <w:r>
        <w:rPr>
          <w:rFonts w:cs="Times New Roman"/>
        </w:rPr>
        <w:t>M</w:t>
      </w:r>
      <w:r w:rsidRPr="00326D33">
        <w:rPr>
          <w:rFonts w:cs="Times New Roman"/>
        </w:rPr>
        <w:t>itbenutzen eines weiteren Grundstücks gestattet wird, diese Position bei Gelegenheit einer späteren Grundstücksveräußerung nicht auf den Erwerber übergeht. Allein der Umstand, dass das entsprechende – und besonders gebuchte – Grundstück von dem Mieter, indes ohne</w:t>
      </w:r>
      <w:r>
        <w:rPr>
          <w:rFonts w:cs="Times New Roman"/>
        </w:rPr>
        <w:t xml:space="preserve"> vertragliche Vereinbarung, mit</w:t>
      </w:r>
      <w:r w:rsidRPr="00326D33">
        <w:rPr>
          <w:rFonts w:cs="Times New Roman"/>
        </w:rPr>
        <w:t>benutzt werden durfte, macht es noch nicht zum Gegenstand des Mietvertrags.</w:t>
      </w:r>
      <w:r>
        <w:rPr>
          <w:rFonts w:cs="Times New Roman"/>
        </w:rPr>
        <w:t xml:space="preserve"> Eine Mitbenutzungsgestattung</w:t>
      </w:r>
      <w:r w:rsidRPr="00326D33">
        <w:rPr>
          <w:rFonts w:cs="Times New Roman"/>
        </w:rPr>
        <w:t xml:space="preserve"> führt nicht zur Anwendung von § 566 Abs. 1 BGB, den</w:t>
      </w:r>
      <w:r>
        <w:rPr>
          <w:rFonts w:cs="Times New Roman"/>
        </w:rPr>
        <w:t>n</w:t>
      </w:r>
      <w:r w:rsidRPr="00326D33">
        <w:rPr>
          <w:rFonts w:cs="Times New Roman"/>
        </w:rPr>
        <w:t xml:space="preserve"> </w:t>
      </w:r>
      <w:r>
        <w:rPr>
          <w:rFonts w:cs="Times New Roman"/>
        </w:rPr>
        <w:t>Nutzungsgestattung</w:t>
      </w:r>
      <w:r w:rsidRPr="00326D33">
        <w:rPr>
          <w:rFonts w:cs="Times New Roman"/>
        </w:rPr>
        <w:t xml:space="preserve"> oder Dulden eines Gebrauchs ist mit einer Gebrauchsüberlassung i. S. d. § 535 Abs. 1 Satz 2 BGB keineswegs gleichzusetzen. </w:t>
      </w:r>
    </w:p>
    <w:p w:rsidR="00326D33" w:rsidRDefault="00326D33" w:rsidP="007C427B">
      <w:pPr>
        <w:pStyle w:val="KeinLeerraum"/>
        <w:jc w:val="both"/>
        <w:rPr>
          <w:rFonts w:cs="Times New Roman"/>
        </w:rPr>
      </w:pPr>
    </w:p>
    <w:p w:rsidR="00326D33" w:rsidRDefault="00326D33" w:rsidP="007C427B">
      <w:pPr>
        <w:pStyle w:val="KeinLeerraum"/>
        <w:jc w:val="both"/>
        <w:rPr>
          <w:rFonts w:cs="Times New Roman"/>
        </w:rPr>
      </w:pPr>
      <w:r w:rsidRPr="00326D33">
        <w:rPr>
          <w:rFonts w:cs="Times New Roman"/>
        </w:rPr>
        <w:t xml:space="preserve">Das </w:t>
      </w:r>
      <w:r w:rsidRPr="00326D33">
        <w:rPr>
          <w:rFonts w:cs="Times New Roman"/>
          <w:b/>
        </w:rPr>
        <w:t>OLG Düsseldorf</w:t>
      </w:r>
      <w:r w:rsidRPr="00326D33">
        <w:rPr>
          <w:rFonts w:cs="Times New Roman"/>
        </w:rPr>
        <w:t xml:space="preserve"> hat mit Urteil vom 02.07.2019 entschieden, dass die Abnahmeverpflichtung des Gemeinschaftseigentums des einzelnen Sondereigentümers auf seinem Erwerbsvertrag mit dem Bauträger beruht und nicht auf den Verwaltungsbeirat übertragen werden kann. Gegenstand von Beschlüssen können nur Verwaltungsmaßnahmen i. S. v. § 20 ff. WEG sein. Die Abnahme des gemeinschaftlichen Eigentums zählt hierzu nicht, weil sie unmittelbar das Vertragsverhältnis zwischen Bauträger und Erwerber betrifft. Eine Vergemeinschaftung der Abnahme scheidet damit aus.</w:t>
      </w:r>
      <w:bookmarkStart w:id="0" w:name="_GoBack"/>
      <w:bookmarkEnd w:id="0"/>
    </w:p>
    <w:p w:rsidR="00326D33" w:rsidRDefault="00326D33" w:rsidP="007C427B">
      <w:pPr>
        <w:pStyle w:val="KeinLeerraum"/>
        <w:jc w:val="both"/>
        <w:rPr>
          <w:rFonts w:cs="Times New Roman"/>
        </w:rPr>
      </w:pPr>
    </w:p>
    <w:p w:rsidR="00CB290D" w:rsidRPr="007C427B" w:rsidRDefault="00CB290D" w:rsidP="007C427B">
      <w:pPr>
        <w:pStyle w:val="KeinLeerraum"/>
        <w:jc w:val="both"/>
        <w:rPr>
          <w:rFonts w:cs="Times New Roman"/>
        </w:rPr>
      </w:pPr>
    </w:p>
    <w:p w:rsidR="007C427B" w:rsidRDefault="00422D09"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57B2"/>
    <w:rsid w:val="0005639D"/>
    <w:rsid w:val="0005726D"/>
    <w:rsid w:val="0006078E"/>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0F4FD9"/>
    <w:rsid w:val="00100EB4"/>
    <w:rsid w:val="00101E98"/>
    <w:rsid w:val="00107AE4"/>
    <w:rsid w:val="00111066"/>
    <w:rsid w:val="0011246D"/>
    <w:rsid w:val="00112CFD"/>
    <w:rsid w:val="00124835"/>
    <w:rsid w:val="00134C7F"/>
    <w:rsid w:val="001375AE"/>
    <w:rsid w:val="00140F8A"/>
    <w:rsid w:val="00141F2D"/>
    <w:rsid w:val="00162CAC"/>
    <w:rsid w:val="00174475"/>
    <w:rsid w:val="001745A0"/>
    <w:rsid w:val="00175CBB"/>
    <w:rsid w:val="001815DE"/>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06D4F"/>
    <w:rsid w:val="0041131A"/>
    <w:rsid w:val="00421B19"/>
    <w:rsid w:val="00422D0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567C3"/>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6D6"/>
    <w:rsid w:val="006209B9"/>
    <w:rsid w:val="00634308"/>
    <w:rsid w:val="006361D2"/>
    <w:rsid w:val="00657ECD"/>
    <w:rsid w:val="00680628"/>
    <w:rsid w:val="00686F3A"/>
    <w:rsid w:val="00687B22"/>
    <w:rsid w:val="0069034D"/>
    <w:rsid w:val="006925CB"/>
    <w:rsid w:val="00697F68"/>
    <w:rsid w:val="006B28C0"/>
    <w:rsid w:val="006B6F81"/>
    <w:rsid w:val="006C63AC"/>
    <w:rsid w:val="006C7730"/>
    <w:rsid w:val="006D5A1E"/>
    <w:rsid w:val="006D5D8C"/>
    <w:rsid w:val="006E7255"/>
    <w:rsid w:val="006E7EE6"/>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A1505"/>
    <w:rsid w:val="008A25EE"/>
    <w:rsid w:val="008D3683"/>
    <w:rsid w:val="008D4863"/>
    <w:rsid w:val="008D7AD3"/>
    <w:rsid w:val="008E1688"/>
    <w:rsid w:val="008F6FB7"/>
    <w:rsid w:val="00900652"/>
    <w:rsid w:val="00901C06"/>
    <w:rsid w:val="00907E5D"/>
    <w:rsid w:val="009209B4"/>
    <w:rsid w:val="00927643"/>
    <w:rsid w:val="009360D0"/>
    <w:rsid w:val="00941952"/>
    <w:rsid w:val="00942C61"/>
    <w:rsid w:val="00946D50"/>
    <w:rsid w:val="009578BB"/>
    <w:rsid w:val="00970543"/>
    <w:rsid w:val="009741B1"/>
    <w:rsid w:val="00982D96"/>
    <w:rsid w:val="00983385"/>
    <w:rsid w:val="00983E19"/>
    <w:rsid w:val="00991104"/>
    <w:rsid w:val="009925EF"/>
    <w:rsid w:val="00994BA8"/>
    <w:rsid w:val="00995261"/>
    <w:rsid w:val="00996E43"/>
    <w:rsid w:val="009A334A"/>
    <w:rsid w:val="009A5D8D"/>
    <w:rsid w:val="009B23B8"/>
    <w:rsid w:val="009B48D7"/>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4602"/>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503C"/>
    <w:rsid w:val="00B053D4"/>
    <w:rsid w:val="00B13894"/>
    <w:rsid w:val="00B14FD5"/>
    <w:rsid w:val="00B203F4"/>
    <w:rsid w:val="00B24EB7"/>
    <w:rsid w:val="00B30D91"/>
    <w:rsid w:val="00B3690C"/>
    <w:rsid w:val="00B36A2F"/>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407C"/>
    <w:rsid w:val="00BB67EB"/>
    <w:rsid w:val="00BD550B"/>
    <w:rsid w:val="00BE1AB1"/>
    <w:rsid w:val="00BE6120"/>
    <w:rsid w:val="00BE7524"/>
    <w:rsid w:val="00BF43FA"/>
    <w:rsid w:val="00BF58D0"/>
    <w:rsid w:val="00C00761"/>
    <w:rsid w:val="00C00B2E"/>
    <w:rsid w:val="00C02FCF"/>
    <w:rsid w:val="00C03ED6"/>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B290D"/>
    <w:rsid w:val="00CB5323"/>
    <w:rsid w:val="00CC3018"/>
    <w:rsid w:val="00CC6347"/>
    <w:rsid w:val="00CD0574"/>
    <w:rsid w:val="00CD42C9"/>
    <w:rsid w:val="00CD782B"/>
    <w:rsid w:val="00CE262C"/>
    <w:rsid w:val="00D00787"/>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2136"/>
    <w:rsid w:val="00DE4F90"/>
    <w:rsid w:val="00DF083C"/>
    <w:rsid w:val="00E02823"/>
    <w:rsid w:val="00E13739"/>
    <w:rsid w:val="00E147D7"/>
    <w:rsid w:val="00E1738B"/>
    <w:rsid w:val="00E21339"/>
    <w:rsid w:val="00E30406"/>
    <w:rsid w:val="00E32087"/>
    <w:rsid w:val="00E34B62"/>
    <w:rsid w:val="00E4770E"/>
    <w:rsid w:val="00E52A42"/>
    <w:rsid w:val="00E54C87"/>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476EC"/>
    <w:rsid w:val="00F55819"/>
    <w:rsid w:val="00F60512"/>
    <w:rsid w:val="00F61F47"/>
    <w:rsid w:val="00F64EFD"/>
    <w:rsid w:val="00F65ADF"/>
    <w:rsid w:val="00F83B09"/>
    <w:rsid w:val="00F85A4C"/>
    <w:rsid w:val="00F913D9"/>
    <w:rsid w:val="00F950E3"/>
    <w:rsid w:val="00F95FDC"/>
    <w:rsid w:val="00FA142D"/>
    <w:rsid w:val="00FB5FDB"/>
    <w:rsid w:val="00FB7E93"/>
    <w:rsid w:val="00FC6C4E"/>
    <w:rsid w:val="00FD07F1"/>
    <w:rsid w:val="00FD5133"/>
    <w:rsid w:val="00FD6989"/>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E186"/>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b25ead2d-36bd-4fd4-950b-45d350d00ea2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9182-2FDF-42DB-B768-568ACF7E97A4}">
  <ds:schemaRefs>
    <ds:schemaRef ds:uri="http://www.datev.de/BSOffice/999929"/>
  </ds:schemaRefs>
</ds:datastoreItem>
</file>

<file path=customXml/itemProps2.xml><?xml version="1.0" encoding="utf-8"?>
<ds:datastoreItem xmlns:ds="http://schemas.openxmlformats.org/officeDocument/2006/customXml" ds:itemID="{DB096B16-F85B-4460-9EE0-4BD17D81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5</cp:revision>
  <cp:lastPrinted>2019-01-17T09:30:00Z</cp:lastPrinted>
  <dcterms:created xsi:type="dcterms:W3CDTF">2019-12-04T15:48:00Z</dcterms:created>
  <dcterms:modified xsi:type="dcterms:W3CDTF">2019-12-16T07:44:00Z</dcterms:modified>
</cp:coreProperties>
</file>