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A0" w:rsidRDefault="001745A0" w:rsidP="00F16BD1">
      <w:pPr>
        <w:pStyle w:val="KeinLeerraum"/>
        <w:jc w:val="both"/>
      </w:pPr>
      <w:r w:rsidRPr="00421B19">
        <w:rPr>
          <w:noProof/>
          <w:lang w:eastAsia="de-DE"/>
        </w:rPr>
        <mc:AlternateContent>
          <mc:Choice Requires="wps">
            <w:drawing>
              <wp:anchor distT="0" distB="0" distL="114300" distR="114300" simplePos="0" relativeHeight="251659264" behindDoc="0" locked="0" layoutInCell="1" allowOverlap="1" wp14:anchorId="3159C8FE" wp14:editId="5C80751D">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B36C66">
                              <w:rPr>
                                <w:b/>
                                <w:sz w:val="28"/>
                              </w:rPr>
                              <w:t>November</w:t>
                            </w:r>
                            <w:bookmarkStart w:id="0" w:name="_GoBack"/>
                            <w:bookmarkEnd w:id="0"/>
                            <w:r w:rsidR="005B4907">
                              <w:rPr>
                                <w:b/>
                                <w:sz w:val="28"/>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9C8FE"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B36C66">
                        <w:rPr>
                          <w:b/>
                          <w:sz w:val="28"/>
                        </w:rPr>
                        <w:t>November</w:t>
                      </w:r>
                      <w:bookmarkStart w:id="1" w:name="_GoBack"/>
                      <w:bookmarkEnd w:id="1"/>
                      <w:r w:rsidR="005B4907">
                        <w:rPr>
                          <w:b/>
                          <w:sz w:val="28"/>
                        </w:rPr>
                        <w:t xml:space="preserve"> 2019</w:t>
                      </w:r>
                    </w:p>
                  </w:txbxContent>
                </v:textbox>
              </v:shape>
            </w:pict>
          </mc:Fallback>
        </mc:AlternateContent>
      </w:r>
    </w:p>
    <w:p w:rsidR="001745A0" w:rsidRDefault="001745A0" w:rsidP="00F16BD1">
      <w:pPr>
        <w:pStyle w:val="KeinLeerraum"/>
        <w:jc w:val="both"/>
      </w:pPr>
    </w:p>
    <w:p w:rsidR="001745A0" w:rsidRDefault="001745A0" w:rsidP="00F16BD1">
      <w:pPr>
        <w:pStyle w:val="KeinLeerraum"/>
        <w:jc w:val="both"/>
      </w:pPr>
    </w:p>
    <w:p w:rsidR="001745A0" w:rsidRDefault="001745A0" w:rsidP="00F16BD1">
      <w:pPr>
        <w:pStyle w:val="KeinLeerraum"/>
        <w:jc w:val="both"/>
      </w:pPr>
    </w:p>
    <w:p w:rsidR="001745A0" w:rsidRDefault="001745A0" w:rsidP="00F16BD1">
      <w:pPr>
        <w:pStyle w:val="KeinLeerraum"/>
        <w:jc w:val="both"/>
      </w:pPr>
    </w:p>
    <w:p w:rsidR="005B4907" w:rsidRDefault="005B4907" w:rsidP="00F16BD1">
      <w:pPr>
        <w:pStyle w:val="KeinLeerraum"/>
        <w:jc w:val="both"/>
        <w:rPr>
          <w:rFonts w:cs="Times New Roman"/>
        </w:rPr>
      </w:pPr>
    </w:p>
    <w:p w:rsidR="006D5D8C" w:rsidRDefault="00634308" w:rsidP="007C427B">
      <w:pPr>
        <w:pStyle w:val="KeinLeerraum"/>
        <w:jc w:val="both"/>
        <w:rPr>
          <w:rFonts w:cs="Times New Roman"/>
        </w:rPr>
      </w:pPr>
      <w:r w:rsidRPr="00634308">
        <w:rPr>
          <w:rFonts w:cs="Times New Roman"/>
        </w:rPr>
        <w:t xml:space="preserve">Das </w:t>
      </w:r>
      <w:r w:rsidRPr="00634308">
        <w:rPr>
          <w:rFonts w:cs="Times New Roman"/>
          <w:b/>
        </w:rPr>
        <w:t>Landgericht Berlin</w:t>
      </w:r>
      <w:r w:rsidRPr="00634308">
        <w:rPr>
          <w:rFonts w:cs="Times New Roman"/>
        </w:rPr>
        <w:t xml:space="preserve"> hat mit Beschluss vom 08.08.2019 festgestellt, dass der Zuschnitt und die Ausstattung der Mietsache, die der Mieter zum Zeitpunkt der letzten Besichtigung vor Abschluss des Mietvertrages oder zu B</w:t>
      </w:r>
      <w:r w:rsidR="00162CAC">
        <w:rPr>
          <w:rFonts w:cs="Times New Roman"/>
        </w:rPr>
        <w:t xml:space="preserve">eginn des Mietverhältnisses vorgefunden </w:t>
      </w:r>
      <w:r w:rsidRPr="00634308">
        <w:rPr>
          <w:rFonts w:cs="Times New Roman"/>
        </w:rPr>
        <w:t>hat, auch ohne ausdrücklichen mietvertraglichen Regelung der Parteien als konkludent vereinbart gelten. Eine spätere Veränderung durch den Vermieter, die weder gesetzlich noch rechtsgeschäftlich gerechtfertigt ist, stellt einen Mangel der Mietsache i. S. d. § 535 ff. BGB dar.</w:t>
      </w:r>
      <w:r w:rsidR="00162CAC">
        <w:rPr>
          <w:rFonts w:cs="Times New Roman"/>
        </w:rPr>
        <w:t xml:space="preserve"> </w:t>
      </w:r>
      <w:r w:rsidR="00162CAC" w:rsidRPr="00162CAC">
        <w:rPr>
          <w:rFonts w:cs="Times New Roman"/>
        </w:rPr>
        <w:t>Die im Verlaufe des Mietverhältnisses in Abwesenheit des Klägers vorgenommenen Grundriss-</w:t>
      </w:r>
      <w:r w:rsidR="00162CAC">
        <w:rPr>
          <w:rFonts w:cs="Times New Roman"/>
        </w:rPr>
        <w:t xml:space="preserve"> </w:t>
      </w:r>
      <w:r w:rsidR="00162CAC" w:rsidRPr="00162CAC">
        <w:rPr>
          <w:rFonts w:cs="Times New Roman"/>
        </w:rPr>
        <w:t>und sonstigen Veränderungen durch den Beklagten stellen einen Mangel der Mietsache dar.</w:t>
      </w:r>
      <w:r w:rsidR="00162CAC">
        <w:rPr>
          <w:rFonts w:cs="Times New Roman"/>
        </w:rPr>
        <w:t xml:space="preserve"> </w:t>
      </w:r>
      <w:r w:rsidR="00162CAC" w:rsidRPr="00162CAC">
        <w:rPr>
          <w:rFonts w:cs="Times New Roman"/>
        </w:rPr>
        <w:t>Der Vermieter ist nicht berechtigt, den vertragsgemäßen Soll-Zustand im Verlaufe des Mietverhältnisses ohne Rechtfertigung zu verändern</w:t>
      </w:r>
      <w:r w:rsidR="00162CAC">
        <w:rPr>
          <w:rFonts w:cs="Times New Roman"/>
        </w:rPr>
        <w:t xml:space="preserve">. </w:t>
      </w:r>
      <w:r w:rsidR="00162CAC" w:rsidRPr="00162CAC">
        <w:rPr>
          <w:rFonts w:cs="Times New Roman"/>
        </w:rPr>
        <w:t xml:space="preserve">Eine Rückbauverpflichtung des Vermieters ist auch nicht wegen Überschreitens der sogenannten Opfergrenze ausgeschlossen. Die Opfergrenze ist erst dann überschritten, wenn ein krasses Missverhältnis zwischen dem </w:t>
      </w:r>
      <w:r w:rsidR="00162CAC">
        <w:rPr>
          <w:rFonts w:cs="Times New Roman"/>
        </w:rPr>
        <w:t>instandsetzungsaufwand einerseits und dem</w:t>
      </w:r>
      <w:r w:rsidR="00162CAC" w:rsidRPr="00162CAC">
        <w:rPr>
          <w:rFonts w:cs="Times New Roman"/>
        </w:rPr>
        <w:t xml:space="preserve"> Nutzen der Reparatur für den Mieter sowie dem Wert des Mietobjektes und den aus ihm zu ziehenden Einnahmen andererseits bestehe. Wann diese Zumutbarkeitsgrenze überschritten ist, entzieht sich einer generalisierenden Betrachtung. Dies muss von Fall zu Fall unter Berücksichtigung beiderseitiger Interessen wertend unter Würdigung aller Umstände des Einzelfalles ermittelt werden. Dabei ist auch gemäß § 275 Abs. 2 BGB ein etwaiges Eigenverschulden des Vermieters zu berücksichtigen</w:t>
      </w:r>
      <w:r w:rsidR="00162CAC">
        <w:rPr>
          <w:rFonts w:cs="Times New Roman"/>
        </w:rPr>
        <w:t>.</w:t>
      </w:r>
    </w:p>
    <w:p w:rsidR="00634308" w:rsidRDefault="00634308" w:rsidP="007C427B">
      <w:pPr>
        <w:pStyle w:val="KeinLeerraum"/>
        <w:jc w:val="both"/>
        <w:rPr>
          <w:rFonts w:cs="Times New Roman"/>
        </w:rPr>
      </w:pPr>
    </w:p>
    <w:p w:rsidR="00634308" w:rsidRDefault="00697F68" w:rsidP="007C427B">
      <w:pPr>
        <w:pStyle w:val="KeinLeerraum"/>
        <w:jc w:val="both"/>
        <w:rPr>
          <w:rFonts w:cs="Times New Roman"/>
        </w:rPr>
      </w:pPr>
      <w:r w:rsidRPr="00697F68">
        <w:rPr>
          <w:rFonts w:cs="Times New Roman"/>
        </w:rPr>
        <w:t xml:space="preserve">Das </w:t>
      </w:r>
      <w:r w:rsidRPr="00697F68">
        <w:rPr>
          <w:rFonts w:cs="Times New Roman"/>
          <w:b/>
        </w:rPr>
        <w:t>Amtsgericht Dortmund</w:t>
      </w:r>
      <w:r w:rsidRPr="00697F68">
        <w:rPr>
          <w:rFonts w:cs="Times New Roman"/>
        </w:rPr>
        <w:t xml:space="preserve"> hat mit Beschluss vom 23.05.2019 entschieden, dass dann, wenn </w:t>
      </w:r>
      <w:r>
        <w:rPr>
          <w:rFonts w:cs="Times New Roman"/>
        </w:rPr>
        <w:t xml:space="preserve">das </w:t>
      </w:r>
      <w:r w:rsidRPr="00697F68">
        <w:rPr>
          <w:rFonts w:cs="Times New Roman"/>
        </w:rPr>
        <w:t>für die Zahlung</w:t>
      </w:r>
      <w:r>
        <w:rPr>
          <w:rFonts w:cs="Times New Roman"/>
        </w:rPr>
        <w:t xml:space="preserve"> v</w:t>
      </w:r>
      <w:r w:rsidRPr="00697F68">
        <w:rPr>
          <w:rFonts w:cs="Times New Roman"/>
        </w:rPr>
        <w:t>on Wohngeld bestimmte Bankkonto der Wohnungseigentümergemeinschaft nicht auf ihren Namen, sondern auf den des Verwalters gefüh</w:t>
      </w:r>
      <w:r>
        <w:rPr>
          <w:rFonts w:cs="Times New Roman"/>
        </w:rPr>
        <w:t>rt wird, dieses kein Recht zum Z</w:t>
      </w:r>
      <w:r w:rsidRPr="00697F68">
        <w:rPr>
          <w:rFonts w:cs="Times New Roman"/>
        </w:rPr>
        <w:t>urückbehalten fälliger Wohngelder begründet</w:t>
      </w:r>
      <w:r>
        <w:rPr>
          <w:rFonts w:cs="Times New Roman"/>
        </w:rPr>
        <w:t xml:space="preserve">. </w:t>
      </w:r>
      <w:r w:rsidRPr="00697F68">
        <w:rPr>
          <w:rFonts w:cs="Times New Roman"/>
        </w:rPr>
        <w:t xml:space="preserve">Die Fälligkeit der Hausgeldforderung ist nicht davon abhängig, ob der Verwalter ein Treuhandkonto führt. Einen Anspruch gegen den Verband dahingehend, ein eigenes Konto zu führen, hat ein </w:t>
      </w:r>
      <w:r w:rsidRPr="00697F68">
        <w:rPr>
          <w:rFonts w:cs="Times New Roman"/>
        </w:rPr>
        <w:t>Wohnungseigentümer nicht. Zudem besteht nach einhelliger Auffassung kein Zurückbehaltungsrecht des Wohnungseigentümers, weil sonst die zur Bewirtschaftung erforderliche Liquidität gefährdet ist.</w:t>
      </w:r>
    </w:p>
    <w:p w:rsidR="00697F68" w:rsidRDefault="00697F68" w:rsidP="007C427B">
      <w:pPr>
        <w:pStyle w:val="KeinLeerraum"/>
        <w:jc w:val="both"/>
        <w:rPr>
          <w:rFonts w:cs="Times New Roman"/>
        </w:rPr>
      </w:pPr>
    </w:p>
    <w:p w:rsidR="00634308" w:rsidRDefault="00697F68" w:rsidP="007C427B">
      <w:pPr>
        <w:pStyle w:val="KeinLeerraum"/>
        <w:jc w:val="both"/>
        <w:rPr>
          <w:rFonts w:cs="Times New Roman"/>
        </w:rPr>
      </w:pPr>
      <w:r w:rsidRPr="00697F68">
        <w:rPr>
          <w:rFonts w:cs="Times New Roman"/>
        </w:rPr>
        <w:t xml:space="preserve">Das </w:t>
      </w:r>
      <w:r w:rsidRPr="00697F68">
        <w:rPr>
          <w:rFonts w:cs="Times New Roman"/>
          <w:b/>
        </w:rPr>
        <w:t>Finanzgericht Baden-Württemberg</w:t>
      </w:r>
      <w:r w:rsidRPr="00697F68">
        <w:rPr>
          <w:rFonts w:cs="Times New Roman"/>
        </w:rPr>
        <w:t xml:space="preserve"> hat mit Urteil vom 06.06.2019 entschieden, </w:t>
      </w:r>
      <w:r>
        <w:rPr>
          <w:rFonts w:cs="Times New Roman"/>
        </w:rPr>
        <w:t>d</w:t>
      </w:r>
      <w:r w:rsidRPr="00697F68">
        <w:rPr>
          <w:rFonts w:cs="Times New Roman"/>
        </w:rPr>
        <w:t xml:space="preserve">ass dann, wenn ein Partner einer nichtehelichen Lebensgemeinschaft einen Teil der auch von </w:t>
      </w:r>
      <w:r>
        <w:rPr>
          <w:rFonts w:cs="Times New Roman"/>
        </w:rPr>
        <w:t>ihm</w:t>
      </w:r>
      <w:r w:rsidRPr="00697F68">
        <w:rPr>
          <w:rFonts w:cs="Times New Roman"/>
        </w:rPr>
        <w:t xml:space="preserve"> bewohnten Wohnung an den anderen Partner vermietet, dies steuerlich nicht anzuerkennen ist</w:t>
      </w:r>
      <w:r>
        <w:rPr>
          <w:rFonts w:cs="Times New Roman"/>
        </w:rPr>
        <w:t xml:space="preserve">. </w:t>
      </w:r>
      <w:r w:rsidRPr="00697F68">
        <w:rPr>
          <w:rFonts w:cs="Times New Roman"/>
        </w:rPr>
        <w:t xml:space="preserve">Eine nichteheliche Lebensgemeinschaft ist auch eine Wirtschaftsgemeinschaft. In der Einräumung der Mitbenutzung der Wohnung liegt daher kein zivilrechtlicher Vertrag, sondern eine Gestaltung der Lebensumstände </w:t>
      </w:r>
      <w:r>
        <w:rPr>
          <w:rFonts w:cs="Times New Roman"/>
        </w:rPr>
        <w:t>a</w:t>
      </w:r>
      <w:r w:rsidRPr="00697F68">
        <w:rPr>
          <w:rFonts w:cs="Times New Roman"/>
        </w:rPr>
        <w:t>ufgrund de</w:t>
      </w:r>
      <w:r>
        <w:rPr>
          <w:rFonts w:cs="Times New Roman"/>
        </w:rPr>
        <w:t>r persönlichen engen Beziehung. E</w:t>
      </w:r>
      <w:r w:rsidRPr="00697F68">
        <w:rPr>
          <w:rFonts w:cs="Times New Roman"/>
        </w:rPr>
        <w:t>in Mietvertrag ist daher, solange die nicht eheliche Lebensgemeinschaft besteht, steuerlich irrelevant</w:t>
      </w:r>
      <w:r>
        <w:rPr>
          <w:rFonts w:cs="Times New Roman"/>
        </w:rPr>
        <w:t>.</w:t>
      </w:r>
    </w:p>
    <w:p w:rsidR="00FD07F1" w:rsidRDefault="00FD07F1" w:rsidP="007C427B">
      <w:pPr>
        <w:pStyle w:val="KeinLeerraum"/>
        <w:jc w:val="both"/>
        <w:rPr>
          <w:rFonts w:cs="Times New Roman"/>
        </w:rPr>
      </w:pPr>
    </w:p>
    <w:p w:rsidR="00FD07F1" w:rsidRDefault="00FD07F1" w:rsidP="007C427B">
      <w:pPr>
        <w:pStyle w:val="KeinLeerraum"/>
        <w:jc w:val="both"/>
        <w:rPr>
          <w:rFonts w:cs="Times New Roman"/>
        </w:rPr>
      </w:pPr>
      <w:r w:rsidRPr="00FD07F1">
        <w:rPr>
          <w:rFonts w:cs="Times New Roman"/>
        </w:rPr>
        <w:t xml:space="preserve">Der </w:t>
      </w:r>
      <w:r w:rsidRPr="00FD07F1">
        <w:rPr>
          <w:rFonts w:cs="Times New Roman"/>
          <w:b/>
        </w:rPr>
        <w:t>BGH</w:t>
      </w:r>
      <w:r w:rsidRPr="00FD07F1">
        <w:rPr>
          <w:rFonts w:cs="Times New Roman"/>
        </w:rPr>
        <w:t xml:space="preserve"> hat mit Urteil vom 09.10.2019 </w:t>
      </w:r>
      <w:r>
        <w:rPr>
          <w:rFonts w:cs="Times New Roman"/>
        </w:rPr>
        <w:t>die Anforderungen an Härtefalla</w:t>
      </w:r>
      <w:r w:rsidRPr="00FD07F1">
        <w:rPr>
          <w:rFonts w:cs="Times New Roman"/>
        </w:rPr>
        <w:t>bwägungen bei Mieterhöhungen nach Modernisierung präzisiert.</w:t>
      </w:r>
      <w:r>
        <w:rPr>
          <w:rFonts w:cs="Times New Roman"/>
        </w:rPr>
        <w:t xml:space="preserve"> </w:t>
      </w:r>
      <w:r w:rsidRPr="00FD07F1">
        <w:rPr>
          <w:rFonts w:cs="Times New Roman"/>
        </w:rPr>
        <w:t xml:space="preserve">Der Umstand, dass </w:t>
      </w:r>
      <w:r>
        <w:rPr>
          <w:rFonts w:cs="Times New Roman"/>
        </w:rPr>
        <w:t>ein Mieter</w:t>
      </w:r>
      <w:r w:rsidRPr="00FD07F1">
        <w:rPr>
          <w:rFonts w:cs="Times New Roman"/>
        </w:rPr>
        <w:t xml:space="preserve"> gemessen an seinen wirtschaftlichen Verhältnissen und seinen Bedürfnissen eine viel zu große Wohnung nutzt, ist zwar laut BGH in die nach § 559 Abs. 4 Satz 1 BGB vorzunehmende Abwägung der beiderseitigen Interessen zu Lasten des Mieters einzubeziehen. Ein solcher Sachverhalt liegt jedoch nicht bereits dann vor, wenn der Mieter eine Wohnung nutzt, die ge</w:t>
      </w:r>
      <w:r>
        <w:rPr>
          <w:rFonts w:cs="Times New Roman"/>
        </w:rPr>
        <w:t xml:space="preserve">messen an den Ausführungsvorschriften </w:t>
      </w:r>
      <w:r w:rsidRPr="00FD07F1">
        <w:rPr>
          <w:rFonts w:cs="Times New Roman"/>
        </w:rPr>
        <w:t>zu</w:t>
      </w:r>
      <w:r>
        <w:rPr>
          <w:rFonts w:cs="Times New Roman"/>
        </w:rPr>
        <w:t>r</w:t>
      </w:r>
      <w:r w:rsidRPr="00FD07F1">
        <w:rPr>
          <w:rFonts w:cs="Times New Roman"/>
        </w:rPr>
        <w:t xml:space="preserve"> Gewährung von staatlichen Transferleistungen oder an den Vorschriften für die Bemessung von Zuschüssen für den öffentlich geförderten Wohnungsbau zu groß ist.</w:t>
      </w:r>
      <w:r>
        <w:rPr>
          <w:rFonts w:cs="Times New Roman"/>
        </w:rPr>
        <w:t xml:space="preserve"> </w:t>
      </w:r>
      <w:r w:rsidRPr="00FD07F1">
        <w:rPr>
          <w:rFonts w:cs="Times New Roman"/>
        </w:rPr>
        <w:t xml:space="preserve">Der Umstand, dass </w:t>
      </w:r>
      <w:r w:rsidR="00BB407C">
        <w:rPr>
          <w:rFonts w:cs="Times New Roman"/>
        </w:rPr>
        <w:t>ein Mieter</w:t>
      </w:r>
      <w:r w:rsidRPr="00FD07F1">
        <w:rPr>
          <w:rFonts w:cs="Times New Roman"/>
        </w:rPr>
        <w:t xml:space="preserve"> gemessen an seinen wirtschaftlichen Verhältnissen und seinen Bedürfnissen eine viel zu große Wohnung nutzt, ist zwar laut BGH in die nach § 559 Abs. 4 Satz 1 BGB vorzunehmende Abwägung der beiderseitigen Interessen zu Lasten des Mieters einzubeziehen. Ein solcher Sachverhalt liegt jedoch nicht bereits dann vor, wenn der Mieter eine Wohnung nutzt, die gemessen</w:t>
      </w:r>
      <w:r w:rsidR="00BB407C">
        <w:rPr>
          <w:rFonts w:cs="Times New Roman"/>
        </w:rPr>
        <w:t xml:space="preserve"> an den Ausführungsvorschriften</w:t>
      </w:r>
      <w:r w:rsidRPr="00FD07F1">
        <w:rPr>
          <w:rFonts w:cs="Times New Roman"/>
        </w:rPr>
        <w:t xml:space="preserve"> zu Gewährung von staatlichen Transferleistungen oder an den Vorschriften für die Bemessung von Zuschüssen für den öffentlich geförderten Wohnungsbau zu groß ist.</w:t>
      </w:r>
      <w:r w:rsidR="00BB407C" w:rsidRPr="00BB407C">
        <w:t xml:space="preserve"> </w:t>
      </w:r>
      <w:r w:rsidR="00BB407C" w:rsidRPr="00BB407C">
        <w:rPr>
          <w:rFonts w:cs="Times New Roman"/>
        </w:rPr>
        <w:t xml:space="preserve">Die Vorschriften zur angemessenen Wohnungsgröße sollen sicherstellen, dass sich ein Hilfebedürftiger nicht auf Kosten der Allgemeinheit eine zu große Wohnung geleistet. </w:t>
      </w:r>
      <w:r w:rsidR="00BB407C" w:rsidRPr="00BB407C">
        <w:rPr>
          <w:rFonts w:cs="Times New Roman"/>
        </w:rPr>
        <w:lastRenderedPageBreak/>
        <w:t xml:space="preserve">§ 559 BGB verfolgt einen anderen Regelungszweck. Es gilt daher abzuwägen, ob der Mieter, der sich einer von ihm nicht beeinflussbaren Entscheidung des Vermieters über die Durchführung von Modernisierungsmaßnahmen ausgesetzt sieht, trotz des Refinanzierung </w:t>
      </w:r>
      <w:r w:rsidR="00BB407C">
        <w:rPr>
          <w:rFonts w:cs="Times New Roman"/>
        </w:rPr>
        <w:t>interesses</w:t>
      </w:r>
      <w:r w:rsidR="00BB407C" w:rsidRPr="00BB407C">
        <w:rPr>
          <w:rFonts w:cs="Times New Roman"/>
        </w:rPr>
        <w:t xml:space="preserve"> des Vermieters seinen bisherigen Lebensmittelpunkt behalten darf.</w:t>
      </w:r>
      <w:r w:rsidR="00BB407C">
        <w:rPr>
          <w:rFonts w:cs="Times New Roman"/>
        </w:rPr>
        <w:t xml:space="preserve"> </w:t>
      </w:r>
      <w:r w:rsidR="00BB407C" w:rsidRPr="00BB407C">
        <w:rPr>
          <w:rFonts w:cs="Times New Roman"/>
        </w:rPr>
        <w:t>Es kommt darauf an, ob die vom Mieter genutzte Wohnung unter Berücksichtigung aller Umstände des Einzelfalls – etwa auch der Verwurzelung des Mieters in der Wohnung und seiner gesundheitlichen Verfassung – für seine Bedürfnisse deutlich zu groß ist.</w:t>
      </w:r>
    </w:p>
    <w:p w:rsidR="00FD07F1" w:rsidRDefault="00FD07F1" w:rsidP="007C427B">
      <w:pPr>
        <w:pStyle w:val="KeinLeerraum"/>
        <w:jc w:val="both"/>
        <w:rPr>
          <w:rFonts w:cs="Times New Roman"/>
        </w:rPr>
      </w:pPr>
    </w:p>
    <w:p w:rsidR="00722716" w:rsidRDefault="00722716" w:rsidP="007C427B">
      <w:pPr>
        <w:pStyle w:val="KeinLeerraum"/>
        <w:jc w:val="both"/>
        <w:rPr>
          <w:rFonts w:cs="Times New Roman"/>
        </w:rPr>
      </w:pPr>
      <w:r w:rsidRPr="00722716">
        <w:rPr>
          <w:rFonts w:cs="Times New Roman"/>
        </w:rPr>
        <w:t xml:space="preserve">Das </w:t>
      </w:r>
      <w:r w:rsidRPr="00722716">
        <w:rPr>
          <w:rFonts w:cs="Times New Roman"/>
          <w:b/>
        </w:rPr>
        <w:t>Landgericht München I</w:t>
      </w:r>
      <w:r w:rsidRPr="00722716">
        <w:rPr>
          <w:rFonts w:cs="Times New Roman"/>
        </w:rPr>
        <w:t xml:space="preserve"> hat zur Ernsthaftigkeit des </w:t>
      </w:r>
      <w:r>
        <w:rPr>
          <w:rFonts w:cs="Times New Roman"/>
        </w:rPr>
        <w:t>Erlangungsi</w:t>
      </w:r>
      <w:r w:rsidRPr="00722716">
        <w:rPr>
          <w:rFonts w:cs="Times New Roman"/>
        </w:rPr>
        <w:t xml:space="preserve">nteresses des Vermieters bei einer Eigenbedarfskündigung Stellung genommen. Von der Ernsthaftigkeit des </w:t>
      </w:r>
      <w:r>
        <w:rPr>
          <w:rFonts w:cs="Times New Roman"/>
        </w:rPr>
        <w:t>Erlangungsi</w:t>
      </w:r>
      <w:r w:rsidRPr="00722716">
        <w:rPr>
          <w:rFonts w:cs="Times New Roman"/>
        </w:rPr>
        <w:t>nteresses muss sich der Richter überzeugen, dagegen kann es sprechen, wenn der Vermieter sich bereit erklärt, die Wohnung zu einer höheren Miete die Mieter zu belassen. Wenn der Vermieter in einem leeren Appartement in der Du</w:t>
      </w:r>
      <w:r>
        <w:rPr>
          <w:rFonts w:cs="Times New Roman"/>
        </w:rPr>
        <w:t xml:space="preserve">sche einen Wecker mit Vibrationalarm </w:t>
      </w:r>
      <w:r w:rsidRPr="00722716">
        <w:rPr>
          <w:rFonts w:cs="Times New Roman"/>
        </w:rPr>
        <w:t>installiert, der nachts die Bewohner aus dem Schlaf rei</w:t>
      </w:r>
      <w:r>
        <w:rPr>
          <w:rFonts w:cs="Times New Roman"/>
        </w:rPr>
        <w:t>ß</w:t>
      </w:r>
      <w:r w:rsidRPr="00722716">
        <w:rPr>
          <w:rFonts w:cs="Times New Roman"/>
        </w:rPr>
        <w:t>t, liegt ein rechtswidriger Angriff nach § 227 Abs. 2 BGB vor, gegen den der Mieter sich durch eine Kappung der Stromzufuhr im Wege der Notwehr verteidigen kann.</w:t>
      </w:r>
      <w:r>
        <w:rPr>
          <w:rFonts w:cs="Times New Roman"/>
        </w:rPr>
        <w:t xml:space="preserve"> </w:t>
      </w:r>
      <w:r w:rsidRPr="00722716">
        <w:rPr>
          <w:rFonts w:cs="Times New Roman"/>
        </w:rPr>
        <w:t xml:space="preserve">Eine auf </w:t>
      </w:r>
      <w:r>
        <w:rPr>
          <w:rFonts w:cs="Times New Roman"/>
        </w:rPr>
        <w:t xml:space="preserve">dem </w:t>
      </w:r>
      <w:r w:rsidRPr="00722716">
        <w:rPr>
          <w:rFonts w:cs="Times New Roman"/>
        </w:rPr>
        <w:t>Abschalten des Stroms basierende Kündigung des Vermieters ist nicht wirksam. Ein Fehlverhalten des Mieters liegt nicht vor, sondern viel</w:t>
      </w:r>
      <w:r>
        <w:rPr>
          <w:rFonts w:cs="Times New Roman"/>
        </w:rPr>
        <w:t>mehr eine schikanöse Entmietungmethode</w:t>
      </w:r>
      <w:r w:rsidRPr="00722716">
        <w:rPr>
          <w:rFonts w:cs="Times New Roman"/>
        </w:rPr>
        <w:t xml:space="preserve"> des Vermieters.</w:t>
      </w:r>
    </w:p>
    <w:p w:rsidR="00722716" w:rsidRDefault="00722716" w:rsidP="007C427B">
      <w:pPr>
        <w:pStyle w:val="KeinLeerraum"/>
        <w:jc w:val="both"/>
        <w:rPr>
          <w:rFonts w:cs="Times New Roman"/>
        </w:rPr>
      </w:pPr>
    </w:p>
    <w:p w:rsidR="00722716" w:rsidRDefault="009B48D7" w:rsidP="007C427B">
      <w:pPr>
        <w:pStyle w:val="KeinLeerraum"/>
        <w:jc w:val="both"/>
        <w:rPr>
          <w:rFonts w:cs="Times New Roman"/>
        </w:rPr>
      </w:pPr>
      <w:r w:rsidRPr="009B48D7">
        <w:rPr>
          <w:rFonts w:cs="Times New Roman"/>
        </w:rPr>
        <w:t xml:space="preserve">Das </w:t>
      </w:r>
      <w:r w:rsidRPr="009B48D7">
        <w:rPr>
          <w:rFonts w:cs="Times New Roman"/>
          <w:b/>
        </w:rPr>
        <w:t>Landgericht Frankfurt am Main</w:t>
      </w:r>
      <w:r w:rsidRPr="009B48D7">
        <w:rPr>
          <w:rFonts w:cs="Times New Roman"/>
        </w:rPr>
        <w:t xml:space="preserve"> hat mit Urteil vom 02.09.2019 entschieden, dass, abweichende Regelungen der Gemeinschaftsordnung vorbehalten, der Verwaltungsbeirat kein Kontrollorgan gegenüber dem Verwalter ist. Gemäß § 29 Abs. 2 WEG hat der Verwaltungsbeirat den Verwalter bei der Durchführung seiner Aufgaben zu unterstützen. Er hat insoweit aber lediglich eine vorbere</w:t>
      </w:r>
      <w:r>
        <w:rPr>
          <w:rFonts w:cs="Times New Roman"/>
        </w:rPr>
        <w:t>itende und beratende Funktion u</w:t>
      </w:r>
      <w:r w:rsidRPr="009B48D7">
        <w:rPr>
          <w:rFonts w:cs="Times New Roman"/>
        </w:rPr>
        <w:t>nd ist Vermittlungsstelle zwischen den Eigentümer</w:t>
      </w:r>
      <w:r>
        <w:rPr>
          <w:rFonts w:cs="Times New Roman"/>
        </w:rPr>
        <w:t>n und dem</w:t>
      </w:r>
      <w:r w:rsidRPr="009B48D7">
        <w:rPr>
          <w:rFonts w:cs="Times New Roman"/>
        </w:rPr>
        <w:t xml:space="preserve"> Verwalter</w:t>
      </w:r>
      <w:r>
        <w:rPr>
          <w:rFonts w:cs="Times New Roman"/>
        </w:rPr>
        <w:t xml:space="preserve">. </w:t>
      </w:r>
      <w:r w:rsidRPr="009B48D7">
        <w:rPr>
          <w:rFonts w:cs="Times New Roman"/>
        </w:rPr>
        <w:t xml:space="preserve">Zur Erteilung von Weisungen an den Verwalter oder Miteigentümer ist der Beirat nicht berechtigt, d. h. erteilt </w:t>
      </w:r>
      <w:r>
        <w:rPr>
          <w:rFonts w:cs="Times New Roman"/>
        </w:rPr>
        <w:t xml:space="preserve">er Weisungen gegenüber dem </w:t>
      </w:r>
      <w:r w:rsidRPr="009B48D7">
        <w:rPr>
          <w:rFonts w:cs="Times New Roman"/>
        </w:rPr>
        <w:t>Verwalter, ist dieser nicht verpflichtet, diese Weisungen zu beachten, zu befolgen und zu erfüllen</w:t>
      </w:r>
      <w:r>
        <w:rPr>
          <w:rFonts w:cs="Times New Roman"/>
        </w:rPr>
        <w:t xml:space="preserve">. </w:t>
      </w:r>
      <w:r w:rsidRPr="009B48D7">
        <w:rPr>
          <w:rFonts w:cs="Times New Roman"/>
        </w:rPr>
        <w:t>Enthält die Gemeinschaftsordnung keine abweichende Bestimmung, ist der Verwaltungsbeirat nicht verpflichtet, den Verwalter zu überwachen.</w:t>
      </w:r>
    </w:p>
    <w:p w:rsidR="00F476EC" w:rsidRDefault="00F476EC" w:rsidP="007C427B">
      <w:pPr>
        <w:pStyle w:val="KeinLeerraum"/>
        <w:jc w:val="both"/>
        <w:rPr>
          <w:rFonts w:cs="Times New Roman"/>
        </w:rPr>
      </w:pPr>
      <w:r w:rsidRPr="00F476EC">
        <w:rPr>
          <w:rFonts w:cs="Times New Roman"/>
        </w:rPr>
        <w:t xml:space="preserve">Das </w:t>
      </w:r>
      <w:r w:rsidRPr="00F476EC">
        <w:rPr>
          <w:rFonts w:cs="Times New Roman"/>
          <w:b/>
        </w:rPr>
        <w:t>Oberlandesgericht München</w:t>
      </w:r>
      <w:r w:rsidRPr="00F476EC">
        <w:rPr>
          <w:rFonts w:cs="Times New Roman"/>
        </w:rPr>
        <w:t xml:space="preserve"> hat mit Urteil vom 15.10.2019 entschieden, dass eine Modernisierungsankündigung von Dezember 2018 für 2021 keine Grundlage für eine Mieterhöhung sein kann.</w:t>
      </w:r>
      <w:r>
        <w:rPr>
          <w:rFonts w:cs="Times New Roman"/>
        </w:rPr>
        <w:t xml:space="preserve"> </w:t>
      </w:r>
      <w:r w:rsidRPr="00F476EC">
        <w:rPr>
          <w:rFonts w:cs="Times New Roman"/>
        </w:rPr>
        <w:t>Dieses Urt</w:t>
      </w:r>
      <w:r>
        <w:rPr>
          <w:rFonts w:cs="Times New Roman"/>
        </w:rPr>
        <w:t>eil ist im Rahmen einer Musterf</w:t>
      </w:r>
      <w:r w:rsidRPr="00F476EC">
        <w:rPr>
          <w:rFonts w:cs="Times New Roman"/>
        </w:rPr>
        <w:t>eststellungsklage ergangen. Das OLG München ist der Auffassung, dass die Spanne zwischen der Ankündigung der Modernisierung und der tatsächlichen Durchführung hierzu lang gewesen sei. Gegen das Urteil hat das OLG München die Revision zum Bundesgerichtshof zugelassen.</w:t>
      </w:r>
    </w:p>
    <w:p w:rsidR="009B48D7" w:rsidRDefault="009B48D7" w:rsidP="007C427B">
      <w:pPr>
        <w:pStyle w:val="KeinLeerraum"/>
        <w:jc w:val="both"/>
        <w:rPr>
          <w:rFonts w:cs="Times New Roman"/>
        </w:rPr>
      </w:pPr>
    </w:p>
    <w:p w:rsidR="009B48D7" w:rsidRDefault="00D00787" w:rsidP="007C427B">
      <w:pPr>
        <w:pStyle w:val="KeinLeerraum"/>
        <w:jc w:val="both"/>
        <w:rPr>
          <w:rFonts w:cs="Times New Roman"/>
        </w:rPr>
      </w:pPr>
      <w:r w:rsidRPr="00D00787">
        <w:rPr>
          <w:rFonts w:cs="Times New Roman"/>
        </w:rPr>
        <w:t xml:space="preserve">Der </w:t>
      </w:r>
      <w:r w:rsidRPr="00D00787">
        <w:rPr>
          <w:rFonts w:cs="Times New Roman"/>
          <w:b/>
        </w:rPr>
        <w:t>BGH</w:t>
      </w:r>
      <w:r w:rsidRPr="00D00787">
        <w:rPr>
          <w:rFonts w:cs="Times New Roman"/>
        </w:rPr>
        <w:t xml:space="preserve"> hat mit Urteil vom 21.08.2019 entschieden, dass durch das Entfernen einer 30 Jahre alten – nicht zum Überstreichen geeigneten, aber vor der Besitzzeit d</w:t>
      </w:r>
      <w:r>
        <w:rPr>
          <w:rFonts w:cs="Times New Roman"/>
        </w:rPr>
        <w:t xml:space="preserve">es Mieters mehrfach überstrichenen </w:t>
      </w:r>
      <w:r w:rsidRPr="00D00787">
        <w:rPr>
          <w:rFonts w:cs="Times New Roman"/>
        </w:rPr>
        <w:t>– Tapete, die sich teilweise bereits gelöst hat, dem Vermieter kein Schaden entsteht.</w:t>
      </w:r>
    </w:p>
    <w:p w:rsidR="00D00787" w:rsidRDefault="00D00787" w:rsidP="007C427B">
      <w:pPr>
        <w:pStyle w:val="KeinLeerraum"/>
        <w:jc w:val="both"/>
        <w:rPr>
          <w:rFonts w:cs="Times New Roman"/>
        </w:rPr>
      </w:pPr>
    </w:p>
    <w:p w:rsidR="00D00787" w:rsidRDefault="00D00787" w:rsidP="007C427B">
      <w:pPr>
        <w:pStyle w:val="KeinLeerraum"/>
        <w:jc w:val="both"/>
        <w:rPr>
          <w:rFonts w:cs="Times New Roman"/>
        </w:rPr>
      </w:pPr>
      <w:r w:rsidRPr="00D00787">
        <w:rPr>
          <w:rFonts w:cs="Times New Roman"/>
        </w:rPr>
        <w:t xml:space="preserve">Das </w:t>
      </w:r>
      <w:r w:rsidRPr="00D00787">
        <w:rPr>
          <w:rFonts w:cs="Times New Roman"/>
          <w:b/>
        </w:rPr>
        <w:t>Amtsgericht Brandenburg</w:t>
      </w:r>
      <w:r w:rsidRPr="00D00787">
        <w:rPr>
          <w:rFonts w:cs="Times New Roman"/>
        </w:rPr>
        <w:t xml:space="preserve"> hat mit Urteil vom 31.07.2019 entschieden, dass Straftaten und Beleidigungen eines Mieters gegenüber den anderen Mietern eines Mehrfamilienhauses eine nachhaltige Störung des Hausfriedens und einen wichtigen Grund zur fristlosen </w:t>
      </w:r>
      <w:r>
        <w:rPr>
          <w:rFonts w:cs="Times New Roman"/>
        </w:rPr>
        <w:t>wie</w:t>
      </w:r>
      <w:r w:rsidRPr="00D00787">
        <w:rPr>
          <w:rFonts w:cs="Times New Roman"/>
        </w:rPr>
        <w:t xml:space="preserve"> auch zur ordentlichen Kündigung darstellen</w:t>
      </w:r>
      <w:r>
        <w:rPr>
          <w:rFonts w:cs="Times New Roman"/>
        </w:rPr>
        <w:t>.</w:t>
      </w:r>
    </w:p>
    <w:p w:rsidR="00D00787" w:rsidRDefault="00D00787" w:rsidP="007C427B">
      <w:pPr>
        <w:pStyle w:val="KeinLeerraum"/>
        <w:jc w:val="both"/>
        <w:rPr>
          <w:rFonts w:cs="Times New Roman"/>
        </w:rPr>
      </w:pPr>
    </w:p>
    <w:p w:rsidR="00D00787" w:rsidRDefault="00A00F63" w:rsidP="007C427B">
      <w:pPr>
        <w:pStyle w:val="KeinLeerraum"/>
        <w:jc w:val="both"/>
        <w:rPr>
          <w:rFonts w:cs="Times New Roman"/>
        </w:rPr>
      </w:pPr>
      <w:r w:rsidRPr="00A00F63">
        <w:rPr>
          <w:rFonts w:cs="Times New Roman"/>
        </w:rPr>
        <w:t xml:space="preserve">Das </w:t>
      </w:r>
      <w:r w:rsidRPr="00A00F63">
        <w:rPr>
          <w:rFonts w:cs="Times New Roman"/>
          <w:b/>
        </w:rPr>
        <w:t>Landgericht Dortmund</w:t>
      </w:r>
      <w:r w:rsidRPr="00A00F63">
        <w:rPr>
          <w:rFonts w:cs="Times New Roman"/>
        </w:rPr>
        <w:t xml:space="preserve"> hat mit Beschluss vom 18.03.2019 entschieden, dass Mieter einen Anspruch darauf haben, die Namen und Adressen der Gesellschafter der vermietenden Gesellschaft bürgerlichen Rechts zu erfahren. Die Mieter haben ein berechtigtes und schutzwürdiges Interesse an der Benennung der Adresse der Vermieterin bzw. an der namentlichen Benennung der Gesellschafter sowie an deren Adressen</w:t>
      </w:r>
      <w:r>
        <w:rPr>
          <w:rFonts w:cs="Times New Roman"/>
        </w:rPr>
        <w:t>,</w:t>
      </w:r>
      <w:r w:rsidRPr="00A00F63">
        <w:rPr>
          <w:rFonts w:cs="Times New Roman"/>
        </w:rPr>
        <w:t xml:space="preserve"> um die GbR bzw. deren Gesellschafter in Anspruch nehmen und auch entsprechend vollstrecken zu können, sind die Mieter auf die Adressen und die Namen angewiesen. Die Mieter können nicht darauf verwiesen werden, sich die Informationen selbst zu beschaffen. Der </w:t>
      </w:r>
      <w:r>
        <w:rPr>
          <w:rFonts w:cs="Times New Roman"/>
        </w:rPr>
        <w:t>Datenschutz</w:t>
      </w:r>
      <w:r w:rsidRPr="00A00F63">
        <w:rPr>
          <w:rFonts w:cs="Times New Roman"/>
        </w:rPr>
        <w:t xml:space="preserve"> steht einem Auskunftsanspruch der Mieter nicht entgegen</w:t>
      </w:r>
      <w:r>
        <w:rPr>
          <w:rFonts w:cs="Times New Roman"/>
        </w:rPr>
        <w:t>.</w:t>
      </w:r>
    </w:p>
    <w:p w:rsidR="00A00F63" w:rsidRDefault="00A00F63" w:rsidP="007C427B">
      <w:pPr>
        <w:pStyle w:val="KeinLeerraum"/>
        <w:jc w:val="both"/>
        <w:rPr>
          <w:rFonts w:cs="Times New Roman"/>
        </w:rPr>
      </w:pPr>
    </w:p>
    <w:p w:rsidR="00A00F63" w:rsidRDefault="00A00F63" w:rsidP="007C427B">
      <w:pPr>
        <w:pStyle w:val="KeinLeerraum"/>
        <w:jc w:val="both"/>
        <w:rPr>
          <w:rFonts w:cs="Times New Roman"/>
        </w:rPr>
      </w:pPr>
      <w:r w:rsidRPr="00A00F63">
        <w:rPr>
          <w:rFonts w:cs="Times New Roman"/>
        </w:rPr>
        <w:t xml:space="preserve">Das </w:t>
      </w:r>
      <w:r w:rsidRPr="00A00F63">
        <w:rPr>
          <w:rFonts w:cs="Times New Roman"/>
          <w:b/>
        </w:rPr>
        <w:t>Landgericht München I</w:t>
      </w:r>
      <w:r w:rsidRPr="00A00F63">
        <w:rPr>
          <w:rFonts w:cs="Times New Roman"/>
        </w:rPr>
        <w:t xml:space="preserve"> hat mit Urteil vom 10.10.2018 entschieden, dass dann, wenn ein Wohnungseigentümer zu Unrecht von der Abstimmung ausgeschlossen wird, dies – anders als der unrechtmäßige Ausschluss von der Eigentümerversammlung – nicht ohne weiteres zu Ungültigkeitserklärung des Eigentümerbeschlusses führt</w:t>
      </w:r>
      <w:r>
        <w:rPr>
          <w:rFonts w:cs="Times New Roman"/>
        </w:rPr>
        <w:t xml:space="preserve">. </w:t>
      </w:r>
      <w:r w:rsidRPr="00A00F63">
        <w:rPr>
          <w:rFonts w:cs="Times New Roman"/>
        </w:rPr>
        <w:t xml:space="preserve">Das Landgericht München I </w:t>
      </w:r>
      <w:r w:rsidRPr="00A00F63">
        <w:rPr>
          <w:rFonts w:cs="Times New Roman"/>
        </w:rPr>
        <w:lastRenderedPageBreak/>
        <w:t>vertritt diese Auffassung, weil allein durch das Stimmrechtsverbot nicht ein so schwerwiegender Eingriff in den Kernbereich elementarer Mitgliedschaftsrechte vorliegt, sodass deshalb zunächst die Folgen für das Abstimmungsergebnis zu prüfen sind. Anders als der BGH stellt das Landgericht München I darauf ab, dass auch dann, wenn der Kläger hier hätte mitstimmen dürfen, die Mehrheit gleichwohl wie geschehen entschieden hätte</w:t>
      </w:r>
      <w:r>
        <w:rPr>
          <w:rFonts w:cs="Times New Roman"/>
        </w:rPr>
        <w:t>.-</w:t>
      </w:r>
    </w:p>
    <w:p w:rsidR="00A00F63" w:rsidRDefault="00A00F63" w:rsidP="007C427B">
      <w:pPr>
        <w:pStyle w:val="KeinLeerraum"/>
        <w:jc w:val="both"/>
        <w:rPr>
          <w:rFonts w:cs="Times New Roman"/>
        </w:rPr>
      </w:pPr>
    </w:p>
    <w:p w:rsidR="00A00F63" w:rsidRDefault="00983385" w:rsidP="007C427B">
      <w:pPr>
        <w:pStyle w:val="KeinLeerraum"/>
        <w:jc w:val="both"/>
        <w:rPr>
          <w:rFonts w:cs="Times New Roman"/>
        </w:rPr>
      </w:pPr>
      <w:r w:rsidRPr="00983385">
        <w:rPr>
          <w:rFonts w:cs="Times New Roman"/>
        </w:rPr>
        <w:t xml:space="preserve">Das </w:t>
      </w:r>
      <w:r w:rsidRPr="00983385">
        <w:rPr>
          <w:rFonts w:cs="Times New Roman"/>
          <w:b/>
        </w:rPr>
        <w:t>Amtsgericht Oldenburg</w:t>
      </w:r>
      <w:r w:rsidRPr="00983385">
        <w:rPr>
          <w:rFonts w:cs="Times New Roman"/>
        </w:rPr>
        <w:t xml:space="preserve"> hat mit Urteil vom 27.03.2019 entschieden, dass dann wenn Nachbarn einen Teil des Abflussrohres gemeinsam nut</w:t>
      </w:r>
      <w:r>
        <w:rPr>
          <w:rFonts w:cs="Times New Roman"/>
        </w:rPr>
        <w:t>zen, Sie eine Nutzungsgemeinschaft</w:t>
      </w:r>
      <w:r w:rsidRPr="00983385">
        <w:rPr>
          <w:rFonts w:cs="Times New Roman"/>
        </w:rPr>
        <w:t xml:space="preserve"> darstellen, auf die die Regelungen zur Gemeinschaft in den § 741 ff. BGB entsprechend anwendbar sind. Bei notwendigen Maßregeln kann auch ein Teilhaber allein die Entscheidung treffen und die Kosten daraus ersetzt verlangen. Notwendig ist, was einen Gegenstandwert-</w:t>
      </w:r>
      <w:r>
        <w:rPr>
          <w:rFonts w:cs="Times New Roman"/>
        </w:rPr>
        <w:t xml:space="preserve"> oder substanz</w:t>
      </w:r>
      <w:r w:rsidRPr="00983385">
        <w:rPr>
          <w:rFonts w:cs="Times New Roman"/>
        </w:rPr>
        <w:t>erhalten</w:t>
      </w:r>
      <w:r>
        <w:rPr>
          <w:rFonts w:cs="Times New Roman"/>
        </w:rPr>
        <w:t>d</w:t>
      </w:r>
      <w:r w:rsidRPr="00983385">
        <w:rPr>
          <w:rFonts w:cs="Times New Roman"/>
        </w:rPr>
        <w:t xml:space="preserve"> zu</w:t>
      </w:r>
      <w:r>
        <w:rPr>
          <w:rFonts w:cs="Times New Roman"/>
        </w:rPr>
        <w:t>gute-</w:t>
      </w:r>
      <w:r w:rsidRPr="00983385">
        <w:rPr>
          <w:rFonts w:cs="Times New Roman"/>
        </w:rPr>
        <w:t xml:space="preserve">kommt. Die wirtschaftliche Zumutbarkeit richtet sich danach, wie </w:t>
      </w:r>
      <w:r>
        <w:rPr>
          <w:rFonts w:cs="Times New Roman"/>
        </w:rPr>
        <w:t>sehr</w:t>
      </w:r>
      <w:r w:rsidRPr="00983385">
        <w:rPr>
          <w:rFonts w:cs="Times New Roman"/>
        </w:rPr>
        <w:t xml:space="preserve"> die Teilhaber durch die Maßregel wirtschaftlich an ihre Belastungsgrenze geraten. Hintergrund dieser Entscheidung war ein gemeinsam genutztes Abflussrohr, dass nach den Feststellungen des Gerichts im Bereich der gemeinsamen Nutzung teilweise abgesackt war</w:t>
      </w:r>
      <w:r>
        <w:rPr>
          <w:rFonts w:cs="Times New Roman"/>
        </w:rPr>
        <w:t>.</w:t>
      </w:r>
    </w:p>
    <w:p w:rsidR="00983385" w:rsidRDefault="00983385" w:rsidP="007C427B">
      <w:pPr>
        <w:pStyle w:val="KeinLeerraum"/>
        <w:jc w:val="both"/>
        <w:rPr>
          <w:rFonts w:cs="Times New Roman"/>
        </w:rPr>
      </w:pPr>
    </w:p>
    <w:p w:rsidR="00983385" w:rsidRDefault="00B14FD5" w:rsidP="007C427B">
      <w:pPr>
        <w:pStyle w:val="KeinLeerraum"/>
        <w:jc w:val="both"/>
        <w:rPr>
          <w:rFonts w:cs="Times New Roman"/>
        </w:rPr>
      </w:pPr>
      <w:r w:rsidRPr="00B14FD5">
        <w:rPr>
          <w:rFonts w:cs="Times New Roman"/>
        </w:rPr>
        <w:t xml:space="preserve">Das </w:t>
      </w:r>
      <w:r w:rsidRPr="00B14FD5">
        <w:rPr>
          <w:rFonts w:cs="Times New Roman"/>
          <w:b/>
        </w:rPr>
        <w:t>OLG Düsseldorf</w:t>
      </w:r>
      <w:r w:rsidRPr="00B14FD5">
        <w:rPr>
          <w:rFonts w:cs="Times New Roman"/>
        </w:rPr>
        <w:t xml:space="preserve"> hatte mit Urteil vom 30.07.2019 entschieden, dass dann, wenn der Grundstückseigentümer verpflichtet ist, das Nachbargrundstück mit Heizenergie zu versorgen, eine Qualifikation dieses Rechtsverhältnisses als Auftragsverhältnis in Betracht kommt.</w:t>
      </w:r>
      <w:r>
        <w:rPr>
          <w:rFonts w:cs="Times New Roman"/>
        </w:rPr>
        <w:t xml:space="preserve"> </w:t>
      </w:r>
      <w:r w:rsidRPr="00B14FD5">
        <w:rPr>
          <w:rFonts w:cs="Times New Roman"/>
        </w:rPr>
        <w:t>Die Parteien sind benachbarte Wohnungseigentümergemeinschaften. Auf dem Grundstück der Klägerin befindet sich eine Heizungsanlage, die auch das Nachbargrundstück versorgt. Gleiches gilt für das Kabel-TV. Die Klägerin macht verschiedene Kosten gelten, näm</w:t>
      </w:r>
      <w:r>
        <w:rPr>
          <w:rFonts w:cs="Times New Roman"/>
        </w:rPr>
        <w:t>lich restliche Heizkosten für 2</w:t>
      </w:r>
      <w:r w:rsidRPr="00B14FD5">
        <w:rPr>
          <w:rFonts w:cs="Times New Roman"/>
        </w:rPr>
        <w:t>016,</w:t>
      </w:r>
      <w:r>
        <w:rPr>
          <w:rFonts w:cs="Times New Roman"/>
        </w:rPr>
        <w:t xml:space="preserve"> </w:t>
      </w:r>
      <w:r w:rsidRPr="00B14FD5">
        <w:rPr>
          <w:rFonts w:cs="Times New Roman"/>
        </w:rPr>
        <w:t>2 Abschlagszahlungen auf die Heizkosten für 2017, in Rechnung gestellten Kosten der Heizungsbetreuung sowie die anteilige Vergütung des Verwa</w:t>
      </w:r>
      <w:r>
        <w:rPr>
          <w:rFonts w:cs="Times New Roman"/>
        </w:rPr>
        <w:t>lters für die Aufteilung der Heiz</w:t>
      </w:r>
      <w:r w:rsidRPr="00B14FD5">
        <w:rPr>
          <w:rFonts w:cs="Times New Roman"/>
        </w:rPr>
        <w:t>-</w:t>
      </w:r>
      <w:r>
        <w:rPr>
          <w:rFonts w:cs="Times New Roman"/>
        </w:rPr>
        <w:t xml:space="preserve"> und Kabel-TV-K</w:t>
      </w:r>
      <w:r w:rsidRPr="00B14FD5">
        <w:rPr>
          <w:rFonts w:cs="Times New Roman"/>
        </w:rPr>
        <w:t>osten. Das OLG Düsseldorf gibt der Klage in Abgrenzung zum Gefälligkeitsverhältnis statt. Die § 741 ff. BGB scheiden als Anspruchsgrundlage aus, da keine Bruchteilsgemeinschaft vorliegt. Zwischen den Parteien besteht aber ein stillschweigend abgeschlossenes Auftragsverhältnis i. S. d. § 662 ff. BGB. Die Klägerin wird für die Beklagte unentgeltlich tätig, denn sie beliefert das Nachbargrundstück gegen Erstattung Ihrer Kosten; somit wird Aufwendungsersatz geschuldet und kann gemäß § 669 BGB auch als Vorschuss verlangt werden</w:t>
      </w:r>
      <w:r>
        <w:rPr>
          <w:rFonts w:cs="Times New Roman"/>
        </w:rPr>
        <w:t>.</w:t>
      </w:r>
    </w:p>
    <w:p w:rsidR="00D00787" w:rsidRDefault="00D00787" w:rsidP="007C427B">
      <w:pPr>
        <w:pStyle w:val="KeinLeerraum"/>
        <w:jc w:val="both"/>
        <w:rPr>
          <w:rFonts w:cs="Times New Roman"/>
        </w:rPr>
      </w:pPr>
    </w:p>
    <w:p w:rsidR="00D00787" w:rsidRDefault="00E60C33" w:rsidP="007C427B">
      <w:pPr>
        <w:pStyle w:val="KeinLeerraum"/>
        <w:jc w:val="both"/>
        <w:rPr>
          <w:rFonts w:cs="Times New Roman"/>
        </w:rPr>
      </w:pPr>
      <w:r w:rsidRPr="00E60C33">
        <w:rPr>
          <w:rFonts w:cs="Times New Roman"/>
        </w:rPr>
        <w:t xml:space="preserve">Der </w:t>
      </w:r>
      <w:r w:rsidRPr="00E60C33">
        <w:rPr>
          <w:rFonts w:cs="Times New Roman"/>
          <w:b/>
        </w:rPr>
        <w:t>BGH</w:t>
      </w:r>
      <w:r w:rsidRPr="00E60C33">
        <w:rPr>
          <w:rFonts w:cs="Times New Roman"/>
        </w:rPr>
        <w:t xml:space="preserve"> hat mit Urteil vom 28.06.2019 entschieden, dass eine Bestimmung in der Teilungserklärung, nach der Wohnungseigentümer sich in der Eigentümerversammlung nur durch Ehegatten, einen Wohnungseigentümer oder den Verwalter vertreten lassen können, regelmäßig dahingehend ergänzend auszulegen ist, dass Sie auch für juristische Personen gilt und dass diese sich nicht nur durch ihre organschaftlichen Vertreter, sondern auch durch einen Ihrer Mitarbeiter vertreten lassen können</w:t>
      </w:r>
      <w:r>
        <w:rPr>
          <w:rFonts w:cs="Times New Roman"/>
        </w:rPr>
        <w:t>. Eine solche Vertretungsklausel</w:t>
      </w:r>
      <w:r w:rsidRPr="00E60C33">
        <w:rPr>
          <w:rFonts w:cs="Times New Roman"/>
        </w:rPr>
        <w:t xml:space="preserve"> ist ferner regelmäßig ergänzend dahingehend auszulegen, dass sich eine juristische Person in der Eigentümerversammlung jedenfalls auch von einem Mitarbeiter einer zum demselben Konzern gehörenden (weiteren) Tochtergesellschaft vertreten lassen darf, wenn diese für die Verwaltung der Sondereigentumseinheiten zuständig ist.</w:t>
      </w:r>
    </w:p>
    <w:p w:rsidR="006D5D8C" w:rsidRPr="007C427B" w:rsidRDefault="006D5D8C" w:rsidP="007C427B">
      <w:pPr>
        <w:pStyle w:val="KeinLeerraum"/>
        <w:jc w:val="both"/>
        <w:rPr>
          <w:rFonts w:cs="Times New Roman"/>
        </w:rPr>
      </w:pPr>
    </w:p>
    <w:p w:rsidR="007C427B" w:rsidRDefault="00422D09" w:rsidP="00F16BD1">
      <w:pPr>
        <w:pStyle w:val="KeinLeerraum"/>
        <w:jc w:val="both"/>
        <w:rPr>
          <w:rFonts w:cs="Times New Roman"/>
        </w:rPr>
      </w:pPr>
      <w:r w:rsidRPr="00421B19">
        <w:rPr>
          <w:noProof/>
          <w:lang w:eastAsia="de-DE"/>
        </w:rPr>
        <mc:AlternateContent>
          <mc:Choice Requires="wps">
            <w:drawing>
              <wp:anchor distT="0" distB="0" distL="114300" distR="114300" simplePos="0" relativeHeight="251662848" behindDoc="0" locked="0" layoutInCell="1" allowOverlap="1" wp14:anchorId="16665136" wp14:editId="6E463073">
                <wp:simplePos x="0" y="0"/>
                <wp:positionH relativeFrom="column">
                  <wp:posOffset>-18161</wp:posOffset>
                </wp:positionH>
                <wp:positionV relativeFrom="paragraph">
                  <wp:posOffset>31191</wp:posOffset>
                </wp:positionV>
                <wp:extent cx="2660650" cy="2487168"/>
                <wp:effectExtent l="0" t="0" r="25400"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487168"/>
                        </a:xfrm>
                        <a:prstGeom prst="rect">
                          <a:avLst/>
                        </a:prstGeom>
                        <a:solidFill>
                          <a:srgbClr val="FFFFFF"/>
                        </a:solidFill>
                        <a:ln w="9525">
                          <a:solidFill>
                            <a:srgbClr val="000000"/>
                          </a:solidFill>
                          <a:miter lim="800000"/>
                          <a:headEnd/>
                          <a:tailEnd/>
                        </a:ln>
                      </wps:spPr>
                      <wps:txb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65136" id="_x0000_s1027" type="#_x0000_t202" style="position:absolute;left:0;text-align:left;margin-left:-1.45pt;margin-top:2.45pt;width:209.5pt;height:19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">
                <v:textbo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41131A" w:rsidRDefault="0041131A"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Pr="0041131A" w:rsidRDefault="007C427B" w:rsidP="00F16BD1">
      <w:pPr>
        <w:pStyle w:val="KeinLeerraum"/>
        <w:jc w:val="both"/>
        <w:rPr>
          <w:rFonts w:cs="Times New Roman"/>
        </w:rPr>
      </w:pPr>
    </w:p>
    <w:p w:rsidR="001E5344" w:rsidRDefault="001E5344" w:rsidP="00F16BD1">
      <w:pPr>
        <w:pStyle w:val="KeinLeerraum"/>
        <w:jc w:val="both"/>
        <w:rPr>
          <w:rFonts w:cs="Times New Roman"/>
        </w:rPr>
      </w:pPr>
    </w:p>
    <w:p w:rsidR="00817E91" w:rsidRPr="001E5344" w:rsidRDefault="00817E91" w:rsidP="00F16BD1">
      <w:pPr>
        <w:pStyle w:val="KeinLeerraum"/>
        <w:jc w:val="both"/>
        <w:rPr>
          <w:rFonts w:cs="Times New Roman"/>
        </w:rPr>
      </w:pPr>
    </w:p>
    <w:sectPr w:rsidR="00817E91" w:rsidRPr="001E5344"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3BC">
    <w:panose1 w:val="00000500000000000000"/>
    <w:charset w:val="00"/>
    <w:family w:val="roman"/>
    <w:notTrueType/>
    <w:pitch w:val="variable"/>
    <w:sig w:usb0="00000003" w:usb1="00000000" w:usb2="00000000" w:usb3="00000000" w:csb0="00000001" w:csb1="00000000"/>
  </w:font>
  <w:font w:name="Copperplate32BC">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539D"/>
    <w:rsid w:val="00012FB5"/>
    <w:rsid w:val="00023589"/>
    <w:rsid w:val="00030C57"/>
    <w:rsid w:val="00037A29"/>
    <w:rsid w:val="00041914"/>
    <w:rsid w:val="000460E5"/>
    <w:rsid w:val="00051F36"/>
    <w:rsid w:val="00052640"/>
    <w:rsid w:val="0005639D"/>
    <w:rsid w:val="0005726D"/>
    <w:rsid w:val="0006423F"/>
    <w:rsid w:val="0006635C"/>
    <w:rsid w:val="000669C3"/>
    <w:rsid w:val="00077791"/>
    <w:rsid w:val="000874D5"/>
    <w:rsid w:val="00093902"/>
    <w:rsid w:val="000A022A"/>
    <w:rsid w:val="000A7DE0"/>
    <w:rsid w:val="000B22A0"/>
    <w:rsid w:val="000B46AE"/>
    <w:rsid w:val="000B50DC"/>
    <w:rsid w:val="000C477F"/>
    <w:rsid w:val="000C6C0A"/>
    <w:rsid w:val="000E1FE5"/>
    <w:rsid w:val="000E41B8"/>
    <w:rsid w:val="000E5115"/>
    <w:rsid w:val="000F1727"/>
    <w:rsid w:val="00100EB4"/>
    <w:rsid w:val="00101E98"/>
    <w:rsid w:val="00107AE4"/>
    <w:rsid w:val="00111066"/>
    <w:rsid w:val="0011246D"/>
    <w:rsid w:val="00112CFD"/>
    <w:rsid w:val="00124835"/>
    <w:rsid w:val="00134C7F"/>
    <w:rsid w:val="001375AE"/>
    <w:rsid w:val="00140F8A"/>
    <w:rsid w:val="00141F2D"/>
    <w:rsid w:val="00162CAC"/>
    <w:rsid w:val="00174475"/>
    <w:rsid w:val="001745A0"/>
    <w:rsid w:val="00175CBB"/>
    <w:rsid w:val="001815DE"/>
    <w:rsid w:val="001A57EF"/>
    <w:rsid w:val="001A7722"/>
    <w:rsid w:val="001B2F23"/>
    <w:rsid w:val="001B6576"/>
    <w:rsid w:val="001C1780"/>
    <w:rsid w:val="001E1622"/>
    <w:rsid w:val="001E1FDB"/>
    <w:rsid w:val="001E4E3A"/>
    <w:rsid w:val="001E5344"/>
    <w:rsid w:val="001E5925"/>
    <w:rsid w:val="001F5A84"/>
    <w:rsid w:val="002004DE"/>
    <w:rsid w:val="00201A3E"/>
    <w:rsid w:val="002134DA"/>
    <w:rsid w:val="00214473"/>
    <w:rsid w:val="002205F8"/>
    <w:rsid w:val="0022136B"/>
    <w:rsid w:val="0022361D"/>
    <w:rsid w:val="00230551"/>
    <w:rsid w:val="00232F4F"/>
    <w:rsid w:val="002370DE"/>
    <w:rsid w:val="00256516"/>
    <w:rsid w:val="00264863"/>
    <w:rsid w:val="00265A05"/>
    <w:rsid w:val="00271141"/>
    <w:rsid w:val="00294681"/>
    <w:rsid w:val="002A1EF2"/>
    <w:rsid w:val="002A7469"/>
    <w:rsid w:val="002A7A9D"/>
    <w:rsid w:val="002B4C94"/>
    <w:rsid w:val="002C4D08"/>
    <w:rsid w:val="002E0B91"/>
    <w:rsid w:val="003001E5"/>
    <w:rsid w:val="00301F0E"/>
    <w:rsid w:val="0030310E"/>
    <w:rsid w:val="003076C1"/>
    <w:rsid w:val="00310591"/>
    <w:rsid w:val="00311678"/>
    <w:rsid w:val="003137BB"/>
    <w:rsid w:val="00314880"/>
    <w:rsid w:val="0032057B"/>
    <w:rsid w:val="0032308D"/>
    <w:rsid w:val="00324729"/>
    <w:rsid w:val="003278EC"/>
    <w:rsid w:val="00327D32"/>
    <w:rsid w:val="00333BA2"/>
    <w:rsid w:val="00336775"/>
    <w:rsid w:val="0034564B"/>
    <w:rsid w:val="003522CD"/>
    <w:rsid w:val="0035647B"/>
    <w:rsid w:val="00360D25"/>
    <w:rsid w:val="00376F02"/>
    <w:rsid w:val="003805D4"/>
    <w:rsid w:val="00385F93"/>
    <w:rsid w:val="00386426"/>
    <w:rsid w:val="00391243"/>
    <w:rsid w:val="003A3D51"/>
    <w:rsid w:val="003A4136"/>
    <w:rsid w:val="003A66B3"/>
    <w:rsid w:val="003B252E"/>
    <w:rsid w:val="003B2E5F"/>
    <w:rsid w:val="003B4443"/>
    <w:rsid w:val="003B5986"/>
    <w:rsid w:val="003D006E"/>
    <w:rsid w:val="003D22CC"/>
    <w:rsid w:val="003D7858"/>
    <w:rsid w:val="003E1559"/>
    <w:rsid w:val="003E59C5"/>
    <w:rsid w:val="003F171B"/>
    <w:rsid w:val="003F79AF"/>
    <w:rsid w:val="004048FD"/>
    <w:rsid w:val="00406D4F"/>
    <w:rsid w:val="0041131A"/>
    <w:rsid w:val="00421B19"/>
    <w:rsid w:val="00422D09"/>
    <w:rsid w:val="00452DD5"/>
    <w:rsid w:val="00456F6B"/>
    <w:rsid w:val="00457C17"/>
    <w:rsid w:val="00463FF8"/>
    <w:rsid w:val="004643D5"/>
    <w:rsid w:val="00466682"/>
    <w:rsid w:val="00471137"/>
    <w:rsid w:val="00475064"/>
    <w:rsid w:val="00475C68"/>
    <w:rsid w:val="004853B0"/>
    <w:rsid w:val="00493550"/>
    <w:rsid w:val="004937AC"/>
    <w:rsid w:val="004B2D14"/>
    <w:rsid w:val="004C6668"/>
    <w:rsid w:val="004E212C"/>
    <w:rsid w:val="004E2E95"/>
    <w:rsid w:val="004E5B6E"/>
    <w:rsid w:val="004F041F"/>
    <w:rsid w:val="004F0F1C"/>
    <w:rsid w:val="004F3F15"/>
    <w:rsid w:val="004F4D47"/>
    <w:rsid w:val="005027C3"/>
    <w:rsid w:val="00504CA6"/>
    <w:rsid w:val="005226BB"/>
    <w:rsid w:val="00523B4D"/>
    <w:rsid w:val="0054066F"/>
    <w:rsid w:val="00542A18"/>
    <w:rsid w:val="00545294"/>
    <w:rsid w:val="00551ADB"/>
    <w:rsid w:val="00552B5C"/>
    <w:rsid w:val="005567C3"/>
    <w:rsid w:val="00566C7E"/>
    <w:rsid w:val="005671A6"/>
    <w:rsid w:val="00570F3B"/>
    <w:rsid w:val="00573F33"/>
    <w:rsid w:val="005754BD"/>
    <w:rsid w:val="005779EB"/>
    <w:rsid w:val="00577F14"/>
    <w:rsid w:val="0058003F"/>
    <w:rsid w:val="0058014E"/>
    <w:rsid w:val="00582153"/>
    <w:rsid w:val="005927E9"/>
    <w:rsid w:val="0059626E"/>
    <w:rsid w:val="005B4907"/>
    <w:rsid w:val="005B71F4"/>
    <w:rsid w:val="005C31E1"/>
    <w:rsid w:val="005C553D"/>
    <w:rsid w:val="005D13B1"/>
    <w:rsid w:val="005E1A6E"/>
    <w:rsid w:val="005E1A86"/>
    <w:rsid w:val="005E7A6B"/>
    <w:rsid w:val="00605856"/>
    <w:rsid w:val="006106D6"/>
    <w:rsid w:val="006209B9"/>
    <w:rsid w:val="00634308"/>
    <w:rsid w:val="006361D2"/>
    <w:rsid w:val="00657ECD"/>
    <w:rsid w:val="00680628"/>
    <w:rsid w:val="00687B22"/>
    <w:rsid w:val="0069034D"/>
    <w:rsid w:val="006925CB"/>
    <w:rsid w:val="00697F68"/>
    <w:rsid w:val="006B28C0"/>
    <w:rsid w:val="006B6F81"/>
    <w:rsid w:val="006C63AC"/>
    <w:rsid w:val="006C7730"/>
    <w:rsid w:val="006D5A1E"/>
    <w:rsid w:val="006D5D8C"/>
    <w:rsid w:val="006E7255"/>
    <w:rsid w:val="006E7EE6"/>
    <w:rsid w:val="00722716"/>
    <w:rsid w:val="007304B9"/>
    <w:rsid w:val="0073400C"/>
    <w:rsid w:val="0075664B"/>
    <w:rsid w:val="00761A87"/>
    <w:rsid w:val="00763C22"/>
    <w:rsid w:val="00764BE7"/>
    <w:rsid w:val="0076545E"/>
    <w:rsid w:val="00766E60"/>
    <w:rsid w:val="00770CD4"/>
    <w:rsid w:val="00773E7C"/>
    <w:rsid w:val="00776757"/>
    <w:rsid w:val="00776EB2"/>
    <w:rsid w:val="00777989"/>
    <w:rsid w:val="0078104E"/>
    <w:rsid w:val="007858A6"/>
    <w:rsid w:val="00792404"/>
    <w:rsid w:val="007961AB"/>
    <w:rsid w:val="007A21D0"/>
    <w:rsid w:val="007A6705"/>
    <w:rsid w:val="007B1699"/>
    <w:rsid w:val="007B4EB6"/>
    <w:rsid w:val="007C427B"/>
    <w:rsid w:val="007D2F4F"/>
    <w:rsid w:val="007D3142"/>
    <w:rsid w:val="007D431F"/>
    <w:rsid w:val="007E06A0"/>
    <w:rsid w:val="007E1245"/>
    <w:rsid w:val="007E2B24"/>
    <w:rsid w:val="007E4EC5"/>
    <w:rsid w:val="007E53D0"/>
    <w:rsid w:val="007E5DE4"/>
    <w:rsid w:val="007E7331"/>
    <w:rsid w:val="007F1514"/>
    <w:rsid w:val="007F1946"/>
    <w:rsid w:val="007F20B5"/>
    <w:rsid w:val="007F2310"/>
    <w:rsid w:val="007F27F9"/>
    <w:rsid w:val="00806753"/>
    <w:rsid w:val="00807875"/>
    <w:rsid w:val="0081560A"/>
    <w:rsid w:val="00816624"/>
    <w:rsid w:val="00817E91"/>
    <w:rsid w:val="00821E57"/>
    <w:rsid w:val="008263CC"/>
    <w:rsid w:val="0082772A"/>
    <w:rsid w:val="008420B0"/>
    <w:rsid w:val="008464B3"/>
    <w:rsid w:val="0085589B"/>
    <w:rsid w:val="00857A7D"/>
    <w:rsid w:val="008648B0"/>
    <w:rsid w:val="00876F85"/>
    <w:rsid w:val="008802A9"/>
    <w:rsid w:val="00881F6B"/>
    <w:rsid w:val="00885A97"/>
    <w:rsid w:val="00890A5D"/>
    <w:rsid w:val="0089266F"/>
    <w:rsid w:val="00895F98"/>
    <w:rsid w:val="008A1505"/>
    <w:rsid w:val="008A25EE"/>
    <w:rsid w:val="008D3683"/>
    <w:rsid w:val="008D4863"/>
    <w:rsid w:val="008D7AD3"/>
    <w:rsid w:val="008E1688"/>
    <w:rsid w:val="008F6FB7"/>
    <w:rsid w:val="00901C06"/>
    <w:rsid w:val="00907E5D"/>
    <w:rsid w:val="009209B4"/>
    <w:rsid w:val="00927643"/>
    <w:rsid w:val="009360D0"/>
    <w:rsid w:val="00941952"/>
    <w:rsid w:val="00942C61"/>
    <w:rsid w:val="00946D50"/>
    <w:rsid w:val="009578BB"/>
    <w:rsid w:val="00970543"/>
    <w:rsid w:val="009741B1"/>
    <w:rsid w:val="00982D96"/>
    <w:rsid w:val="00983385"/>
    <w:rsid w:val="00983E19"/>
    <w:rsid w:val="00991104"/>
    <w:rsid w:val="009925EF"/>
    <w:rsid w:val="00994BA8"/>
    <w:rsid w:val="00995261"/>
    <w:rsid w:val="00996E43"/>
    <w:rsid w:val="009A334A"/>
    <w:rsid w:val="009A5D8D"/>
    <w:rsid w:val="009B23B8"/>
    <w:rsid w:val="009B48D7"/>
    <w:rsid w:val="009B62EF"/>
    <w:rsid w:val="009C1151"/>
    <w:rsid w:val="009C21B2"/>
    <w:rsid w:val="009C59AB"/>
    <w:rsid w:val="009D717F"/>
    <w:rsid w:val="009E27FB"/>
    <w:rsid w:val="009E3F68"/>
    <w:rsid w:val="00A00F63"/>
    <w:rsid w:val="00A01125"/>
    <w:rsid w:val="00A07AEB"/>
    <w:rsid w:val="00A233C0"/>
    <w:rsid w:val="00A2440B"/>
    <w:rsid w:val="00A266BF"/>
    <w:rsid w:val="00A4659F"/>
    <w:rsid w:val="00A563F1"/>
    <w:rsid w:val="00A66F4F"/>
    <w:rsid w:val="00A70069"/>
    <w:rsid w:val="00A81434"/>
    <w:rsid w:val="00AA3329"/>
    <w:rsid w:val="00AB23E5"/>
    <w:rsid w:val="00AC2CC8"/>
    <w:rsid w:val="00AC56AF"/>
    <w:rsid w:val="00AD00D9"/>
    <w:rsid w:val="00AD4FAB"/>
    <w:rsid w:val="00AF57D7"/>
    <w:rsid w:val="00AF6168"/>
    <w:rsid w:val="00AF6CAB"/>
    <w:rsid w:val="00B023C7"/>
    <w:rsid w:val="00B0503C"/>
    <w:rsid w:val="00B053D4"/>
    <w:rsid w:val="00B13894"/>
    <w:rsid w:val="00B14FD5"/>
    <w:rsid w:val="00B203F4"/>
    <w:rsid w:val="00B24EB7"/>
    <w:rsid w:val="00B30D91"/>
    <w:rsid w:val="00B3690C"/>
    <w:rsid w:val="00B36A2F"/>
    <w:rsid w:val="00B36C66"/>
    <w:rsid w:val="00B40FB0"/>
    <w:rsid w:val="00B41385"/>
    <w:rsid w:val="00B42ABB"/>
    <w:rsid w:val="00B43FC1"/>
    <w:rsid w:val="00B451E9"/>
    <w:rsid w:val="00B500FC"/>
    <w:rsid w:val="00B62C37"/>
    <w:rsid w:val="00B673DC"/>
    <w:rsid w:val="00B7792E"/>
    <w:rsid w:val="00B80D2C"/>
    <w:rsid w:val="00B86A3D"/>
    <w:rsid w:val="00B91F93"/>
    <w:rsid w:val="00B9411E"/>
    <w:rsid w:val="00B94803"/>
    <w:rsid w:val="00B97642"/>
    <w:rsid w:val="00BB407C"/>
    <w:rsid w:val="00BB67EB"/>
    <w:rsid w:val="00BD550B"/>
    <w:rsid w:val="00BE1AB1"/>
    <w:rsid w:val="00BE6120"/>
    <w:rsid w:val="00BE7524"/>
    <w:rsid w:val="00BF43FA"/>
    <w:rsid w:val="00BF58D0"/>
    <w:rsid w:val="00C00761"/>
    <w:rsid w:val="00C00B2E"/>
    <w:rsid w:val="00C02FCF"/>
    <w:rsid w:val="00C03ED6"/>
    <w:rsid w:val="00C13097"/>
    <w:rsid w:val="00C162CD"/>
    <w:rsid w:val="00C251B4"/>
    <w:rsid w:val="00C25EE4"/>
    <w:rsid w:val="00C26CC3"/>
    <w:rsid w:val="00C27C6E"/>
    <w:rsid w:val="00C41029"/>
    <w:rsid w:val="00C446AF"/>
    <w:rsid w:val="00C46943"/>
    <w:rsid w:val="00C548FB"/>
    <w:rsid w:val="00C624F1"/>
    <w:rsid w:val="00C63C81"/>
    <w:rsid w:val="00C66441"/>
    <w:rsid w:val="00C6761E"/>
    <w:rsid w:val="00C72F01"/>
    <w:rsid w:val="00C7662F"/>
    <w:rsid w:val="00C76FBB"/>
    <w:rsid w:val="00C800F2"/>
    <w:rsid w:val="00C80531"/>
    <w:rsid w:val="00C817AB"/>
    <w:rsid w:val="00C81F09"/>
    <w:rsid w:val="00C85917"/>
    <w:rsid w:val="00C86916"/>
    <w:rsid w:val="00C91916"/>
    <w:rsid w:val="00C9255B"/>
    <w:rsid w:val="00C97136"/>
    <w:rsid w:val="00CB5323"/>
    <w:rsid w:val="00CC3018"/>
    <w:rsid w:val="00CC6347"/>
    <w:rsid w:val="00CD0574"/>
    <w:rsid w:val="00CD42C9"/>
    <w:rsid w:val="00CD782B"/>
    <w:rsid w:val="00CE262C"/>
    <w:rsid w:val="00D00787"/>
    <w:rsid w:val="00D04FE6"/>
    <w:rsid w:val="00D30BBD"/>
    <w:rsid w:val="00D30D81"/>
    <w:rsid w:val="00D3799D"/>
    <w:rsid w:val="00D40A7E"/>
    <w:rsid w:val="00D40B3C"/>
    <w:rsid w:val="00D478B2"/>
    <w:rsid w:val="00D60B51"/>
    <w:rsid w:val="00D7215A"/>
    <w:rsid w:val="00D7229F"/>
    <w:rsid w:val="00D735C6"/>
    <w:rsid w:val="00D84249"/>
    <w:rsid w:val="00D85E19"/>
    <w:rsid w:val="00D92A77"/>
    <w:rsid w:val="00DB40BA"/>
    <w:rsid w:val="00DC281D"/>
    <w:rsid w:val="00DD138F"/>
    <w:rsid w:val="00DD28CA"/>
    <w:rsid w:val="00DD404C"/>
    <w:rsid w:val="00DE0FD1"/>
    <w:rsid w:val="00DE4F90"/>
    <w:rsid w:val="00DF083C"/>
    <w:rsid w:val="00E02823"/>
    <w:rsid w:val="00E13739"/>
    <w:rsid w:val="00E147D7"/>
    <w:rsid w:val="00E1738B"/>
    <w:rsid w:val="00E21339"/>
    <w:rsid w:val="00E30406"/>
    <w:rsid w:val="00E32087"/>
    <w:rsid w:val="00E34B62"/>
    <w:rsid w:val="00E4770E"/>
    <w:rsid w:val="00E54C87"/>
    <w:rsid w:val="00E60C33"/>
    <w:rsid w:val="00E60FAD"/>
    <w:rsid w:val="00E71BCE"/>
    <w:rsid w:val="00E76E26"/>
    <w:rsid w:val="00E77BB9"/>
    <w:rsid w:val="00E80B6B"/>
    <w:rsid w:val="00E87209"/>
    <w:rsid w:val="00E9186B"/>
    <w:rsid w:val="00EA163E"/>
    <w:rsid w:val="00EB704E"/>
    <w:rsid w:val="00EC07D9"/>
    <w:rsid w:val="00EC6CAD"/>
    <w:rsid w:val="00ED0750"/>
    <w:rsid w:val="00ED1241"/>
    <w:rsid w:val="00EE3699"/>
    <w:rsid w:val="00EF5CA5"/>
    <w:rsid w:val="00EF65E1"/>
    <w:rsid w:val="00EF7F3A"/>
    <w:rsid w:val="00F03078"/>
    <w:rsid w:val="00F04D44"/>
    <w:rsid w:val="00F074B5"/>
    <w:rsid w:val="00F123E9"/>
    <w:rsid w:val="00F16BD1"/>
    <w:rsid w:val="00F2170D"/>
    <w:rsid w:val="00F31344"/>
    <w:rsid w:val="00F476EC"/>
    <w:rsid w:val="00F55819"/>
    <w:rsid w:val="00F60512"/>
    <w:rsid w:val="00F61F47"/>
    <w:rsid w:val="00F64EFD"/>
    <w:rsid w:val="00F65ADF"/>
    <w:rsid w:val="00F83B09"/>
    <w:rsid w:val="00F85A4C"/>
    <w:rsid w:val="00F913D9"/>
    <w:rsid w:val="00F950E3"/>
    <w:rsid w:val="00F95FDC"/>
    <w:rsid w:val="00FA142D"/>
    <w:rsid w:val="00FB5FDB"/>
    <w:rsid w:val="00FB7E93"/>
    <w:rsid w:val="00FC6C4E"/>
    <w:rsid w:val="00FD07F1"/>
    <w:rsid w:val="00FD5133"/>
    <w:rsid w:val="00FD6989"/>
    <w:rsid w:val="00FE0107"/>
    <w:rsid w:val="00FE23BF"/>
    <w:rsid w:val="00FF2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0A95"/>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semiHidden/>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418">
      <w:bodyDiv w:val="1"/>
      <w:marLeft w:val="0"/>
      <w:marRight w:val="0"/>
      <w:marTop w:val="0"/>
      <w:marBottom w:val="0"/>
      <w:divBdr>
        <w:top w:val="none" w:sz="0" w:space="0" w:color="auto"/>
        <w:left w:val="none" w:sz="0" w:space="0" w:color="auto"/>
        <w:bottom w:val="none" w:sz="0" w:space="0" w:color="auto"/>
        <w:right w:val="none" w:sz="0" w:space="0" w:color="auto"/>
      </w:divBdr>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 w:id="134921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ff03435c-f2b1-476e-99be-cc627696e4a6</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B97EF-A9DC-4D1C-84A2-E3B9E0AA5F4A}">
  <ds:schemaRefs>
    <ds:schemaRef ds:uri="http://www.datev.de/BSOffice/999929"/>
  </ds:schemaRefs>
</ds:datastoreItem>
</file>

<file path=customXml/itemProps2.xml><?xml version="1.0" encoding="utf-8"?>
<ds:datastoreItem xmlns:ds="http://schemas.openxmlformats.org/officeDocument/2006/customXml" ds:itemID="{80651005-7934-490B-A565-AA57DFBA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1670</Words>
  <Characters>10522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Schmidt-Eberth</dc:creator>
  <cp:lastModifiedBy>Jens Becker-Platen</cp:lastModifiedBy>
  <cp:revision>12</cp:revision>
  <cp:lastPrinted>2019-01-17T09:30:00Z</cp:lastPrinted>
  <dcterms:created xsi:type="dcterms:W3CDTF">2019-09-30T08:58:00Z</dcterms:created>
  <dcterms:modified xsi:type="dcterms:W3CDTF">2020-01-08T16:37:00Z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000424-2013/001:00</vt:lpwstr>
  </property>
  <property fmtid="{D5CDD505-2E9C-101B-9397-08002B2CF9AE}" pid="3" name="DATEV-DMS_MANDANT_BEZ">
    <vt:lpwstr>Urteile und Entscheidungen              E-Akte</vt:lpwstr>
  </property>
  <property fmtid="{D5CDD505-2E9C-101B-9397-08002B2CF9AE}" pid="4" name="DATEV-DMS_DOKU_NR">
    <vt:lpwstr>484332</vt:lpwstr>
  </property>
  <property fmtid="{D5CDD505-2E9C-101B-9397-08002B2CF9AE}" pid="5" name="DATEV-DMS_BETREFF">
    <vt:lpwstr>Mandantenrundbrief November 2019</vt:lpwstr>
  </property>
</Properties>
</file>