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12FB5">
                              <w:rPr>
                                <w:b/>
                                <w:sz w:val="28"/>
                              </w:rPr>
                              <w:t>Oktober</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12FB5">
                        <w:rPr>
                          <w:b/>
                          <w:sz w:val="28"/>
                        </w:rPr>
                        <w:t>Oktober</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7F2310" w:rsidRDefault="007F2310" w:rsidP="007C427B">
      <w:pPr>
        <w:pStyle w:val="KeinLeerraum"/>
        <w:jc w:val="both"/>
      </w:pPr>
      <w:r w:rsidRPr="007F2310">
        <w:t xml:space="preserve">Nach einem Beschluss des </w:t>
      </w:r>
      <w:r w:rsidRPr="007F2310">
        <w:rPr>
          <w:b/>
        </w:rPr>
        <w:t>VGH München</w:t>
      </w:r>
      <w:r w:rsidRPr="007F2310">
        <w:t xml:space="preserve"> vom 20.08.2019 ist der </w:t>
      </w:r>
      <w:r>
        <w:t>Unterkunftsvermittler Airbnb nicht verpflichtet, der Stadt München generell und flächendeckend die Identität der Gastgeber preiszugeben, damit diese feststellen kann, ob eine Wohnraumzweckentfremdung durch Überschreitung der Höchstvermietungsdauer vorliegt. Ein Auskunftsanspruch besteht nur, wenn ein konkreter und objektbezogener Verdacht auf Zweckentfremdung vorliegt. Allein die Tatsache einer gelegentlichen, gegebenenfalls auch mehrfachen, kurz- oder auch längerfristigen Vermietung oder Gebrauchsüberlassung reiche angesichts der mannigfaltigen Möglichkeiten einer vollkommen legalen (genehmigten) Nutzung ohne das Hinzutreten weiterer, eindeutig auf eine Zweckentfremdung hinweisender Umstände regelmäßig nicht aus, die Annahme eines konkreten Anfangsverdachts zu rechtfertigen. In tatsächlicher Hinsicht werde es deshalb stets eines konkreten und objektbezogenen Anknüpfungspunktes bedürfen, um nach vorheriger Prüfung des Nichtvorliegens eines Genehmigungstatbestandes ein Auskunftsersuchen im Einzelfall zu legitimieren.</w:t>
      </w:r>
    </w:p>
    <w:p w:rsidR="00422D09" w:rsidRDefault="00422D09" w:rsidP="007C427B">
      <w:pPr>
        <w:pStyle w:val="KeinLeerraum"/>
        <w:jc w:val="both"/>
      </w:pPr>
    </w:p>
    <w:p w:rsidR="00422D09" w:rsidRDefault="00422D09" w:rsidP="007C427B">
      <w:pPr>
        <w:pStyle w:val="KeinLeerraum"/>
        <w:jc w:val="both"/>
        <w:rPr>
          <w:rFonts w:cs="Times New Roman"/>
        </w:rPr>
      </w:pPr>
      <w:r w:rsidRPr="00422D09">
        <w:rPr>
          <w:rFonts w:cs="Times New Roman"/>
        </w:rPr>
        <w:t xml:space="preserve">Das </w:t>
      </w:r>
      <w:r w:rsidRPr="00422D09">
        <w:rPr>
          <w:rFonts w:cs="Times New Roman"/>
          <w:b/>
        </w:rPr>
        <w:t>OLG Koblenz</w:t>
      </w:r>
      <w:r w:rsidRPr="00422D09">
        <w:rPr>
          <w:rFonts w:cs="Times New Roman"/>
        </w:rPr>
        <w:t xml:space="preserve"> hat mit Urteil vom </w:t>
      </w:r>
    </w:p>
    <w:p w:rsidR="00422D09" w:rsidRDefault="00422D09" w:rsidP="007C427B">
      <w:pPr>
        <w:pStyle w:val="KeinLeerraum"/>
        <w:jc w:val="both"/>
        <w:rPr>
          <w:rFonts w:cs="Times New Roman"/>
        </w:rPr>
      </w:pPr>
      <w:r w:rsidRPr="00422D09">
        <w:rPr>
          <w:rFonts w:cs="Times New Roman"/>
        </w:rPr>
        <w:t>27.06.2019 entschieden, Dass dann, w</w:t>
      </w:r>
      <w:r>
        <w:rPr>
          <w:rFonts w:cs="Times New Roman"/>
        </w:rPr>
        <w:t>e</w:t>
      </w:r>
      <w:r w:rsidRPr="00422D09">
        <w:rPr>
          <w:rFonts w:cs="Times New Roman"/>
        </w:rPr>
        <w:t xml:space="preserve">nn die </w:t>
      </w:r>
    </w:p>
    <w:p w:rsidR="00422D09" w:rsidRDefault="00422D09" w:rsidP="007C427B">
      <w:pPr>
        <w:pStyle w:val="KeinLeerraum"/>
        <w:jc w:val="both"/>
        <w:rPr>
          <w:rFonts w:cs="Times New Roman"/>
        </w:rPr>
      </w:pPr>
      <w:r w:rsidRPr="00422D09">
        <w:rPr>
          <w:rFonts w:cs="Times New Roman"/>
        </w:rPr>
        <w:t>V</w:t>
      </w:r>
      <w:r>
        <w:rPr>
          <w:rFonts w:cs="Times New Roman"/>
        </w:rPr>
        <w:t>ertragsparteien für eine Präsenz</w:t>
      </w:r>
      <w:r w:rsidRPr="00422D09">
        <w:rPr>
          <w:rFonts w:cs="Times New Roman"/>
        </w:rPr>
        <w:t xml:space="preserve">-Apotheke </w:t>
      </w:r>
    </w:p>
    <w:p w:rsidR="00422D09" w:rsidRDefault="00422D09" w:rsidP="007C427B">
      <w:pPr>
        <w:pStyle w:val="KeinLeerraum"/>
        <w:jc w:val="both"/>
        <w:rPr>
          <w:rFonts w:cs="Times New Roman"/>
        </w:rPr>
      </w:pPr>
      <w:r w:rsidRPr="00422D09">
        <w:rPr>
          <w:rFonts w:cs="Times New Roman"/>
        </w:rPr>
        <w:t>eine Betriebspflicht vereinbaren, der Apothe</w:t>
      </w:r>
    </w:p>
    <w:p w:rsidR="00422D09" w:rsidRDefault="00422D09" w:rsidP="007C427B">
      <w:pPr>
        <w:pStyle w:val="KeinLeerraum"/>
        <w:jc w:val="both"/>
        <w:rPr>
          <w:rFonts w:cs="Times New Roman"/>
        </w:rPr>
      </w:pPr>
      <w:r w:rsidRPr="00422D09">
        <w:rPr>
          <w:rFonts w:cs="Times New Roman"/>
        </w:rPr>
        <w:t>ker</w:t>
      </w:r>
      <w:r>
        <w:rPr>
          <w:rFonts w:cs="Times New Roman"/>
        </w:rPr>
        <w:t xml:space="preserve"> diese grundsätzlich als Präsenz</w:t>
      </w:r>
      <w:r w:rsidRPr="00422D09">
        <w:rPr>
          <w:rFonts w:cs="Times New Roman"/>
        </w:rPr>
        <w:t xml:space="preserve">-Apotheke </w:t>
      </w:r>
    </w:p>
    <w:p w:rsidR="00422D09" w:rsidRDefault="00422D09" w:rsidP="007C427B">
      <w:pPr>
        <w:pStyle w:val="KeinLeerraum"/>
        <w:jc w:val="both"/>
        <w:rPr>
          <w:rFonts w:cs="Times New Roman"/>
        </w:rPr>
      </w:pPr>
      <w:r>
        <w:rPr>
          <w:rFonts w:cs="Times New Roman"/>
        </w:rPr>
        <w:t>und nicht als Versand</w:t>
      </w:r>
      <w:r w:rsidRPr="00422D09">
        <w:rPr>
          <w:rFonts w:cs="Times New Roman"/>
        </w:rPr>
        <w:t xml:space="preserve">-Apotheke zu </w:t>
      </w:r>
      <w:r>
        <w:rPr>
          <w:rFonts w:cs="Times New Roman"/>
        </w:rPr>
        <w:t>führen hat.</w:t>
      </w:r>
    </w:p>
    <w:p w:rsidR="00422D09" w:rsidRDefault="00422D09" w:rsidP="007C427B">
      <w:pPr>
        <w:pStyle w:val="KeinLeerraum"/>
        <w:jc w:val="both"/>
        <w:rPr>
          <w:rFonts w:cs="Times New Roman"/>
        </w:rPr>
      </w:pPr>
      <w:r w:rsidRPr="00422D09">
        <w:rPr>
          <w:rFonts w:cs="Times New Roman"/>
        </w:rPr>
        <w:t>Mangels anderweitiger Vereinbarungen trägt der Mieter das Verwendungsrisiko für die angemieteten Räume. Dies gilt auch für den Fall, dass die darin betriebene Apotheke nur unrentabel oder auch verlustbringend betrieben werden kann. Ein Freiwerden des Mieters von einer übernommenen Betriebspflicht kommt nach den Umständen des Einzelfalls erst dann in Betracht, wenn Zahlungsunfähigkeit des Mieters droht und er der übernommenen Betriebspflicht nur durch Täuschung des Geschäftsverkehrs über seine finanziellen Verhältnisse entsprechen könnte. Dass Verluste in 6-stelliger Höhe nur durch Quersubventionierung des Apothekers über Gewinne aus einer weit</w:t>
      </w:r>
      <w:r>
        <w:rPr>
          <w:rFonts w:cs="Times New Roman"/>
        </w:rPr>
        <w:t>eren von ihm betriebenen Präsenz</w:t>
      </w:r>
      <w:r w:rsidRPr="00422D09">
        <w:rPr>
          <w:rFonts w:cs="Times New Roman"/>
        </w:rPr>
        <w:t>-Apotheke abgefangen werden können, ist inso</w:t>
      </w:r>
      <w:r w:rsidRPr="00422D09">
        <w:rPr>
          <w:rFonts w:cs="Times New Roman"/>
        </w:rPr>
        <w:t xml:space="preserve">fern ebenso ohne Belang </w:t>
      </w:r>
      <w:r>
        <w:rPr>
          <w:rFonts w:cs="Times New Roman"/>
        </w:rPr>
        <w:t>wie</w:t>
      </w:r>
      <w:r w:rsidRPr="00422D09">
        <w:rPr>
          <w:rFonts w:cs="Times New Roman"/>
        </w:rPr>
        <w:t xml:space="preserve"> eine Veränderung im Umfeld der Apotheke, etwa wenn nahe gelegene Arztpraxen schließen.</w:t>
      </w:r>
      <w:r>
        <w:rPr>
          <w:rFonts w:cs="Times New Roman"/>
        </w:rPr>
        <w:t xml:space="preserve"> </w:t>
      </w:r>
      <w:r w:rsidRPr="00422D09">
        <w:rPr>
          <w:rFonts w:cs="Times New Roman"/>
        </w:rPr>
        <w:t>Ist nur die Betriebspfl</w:t>
      </w:r>
      <w:r>
        <w:rPr>
          <w:rFonts w:cs="Times New Roman"/>
        </w:rPr>
        <w:t>icht und nicht die Offenhaltungspflicht</w:t>
      </w:r>
      <w:r w:rsidRPr="00422D09">
        <w:rPr>
          <w:rFonts w:cs="Times New Roman"/>
        </w:rPr>
        <w:t xml:space="preserve"> vertraglich geregelt, so sind die </w:t>
      </w:r>
      <w:r>
        <w:rPr>
          <w:rFonts w:cs="Times New Roman"/>
        </w:rPr>
        <w:t>branchen</w:t>
      </w:r>
      <w:r w:rsidRPr="00422D09">
        <w:rPr>
          <w:rFonts w:cs="Times New Roman"/>
        </w:rPr>
        <w:t xml:space="preserve">üblichen </w:t>
      </w:r>
      <w:r>
        <w:rPr>
          <w:rFonts w:cs="Times New Roman"/>
        </w:rPr>
        <w:t>Öffnungszeiten</w:t>
      </w:r>
      <w:r w:rsidRPr="00422D09">
        <w:rPr>
          <w:rFonts w:cs="Times New Roman"/>
        </w:rPr>
        <w:t>, die sich aus gesetzlichen Bestimmungen für Apotheken ergeben, über eine ergänzende Vertragsauslegung zugrunde zu legen</w:t>
      </w:r>
      <w:r>
        <w:rPr>
          <w:rFonts w:cs="Times New Roman"/>
        </w:rPr>
        <w:t>.</w:t>
      </w:r>
    </w:p>
    <w:p w:rsidR="00422D09" w:rsidRDefault="00422D09" w:rsidP="007C427B">
      <w:pPr>
        <w:pStyle w:val="KeinLeerraum"/>
        <w:jc w:val="both"/>
        <w:rPr>
          <w:rFonts w:cs="Times New Roman"/>
        </w:rPr>
      </w:pPr>
    </w:p>
    <w:p w:rsidR="00422D09" w:rsidRDefault="00BF58D0" w:rsidP="007C427B">
      <w:pPr>
        <w:pStyle w:val="KeinLeerraum"/>
        <w:jc w:val="both"/>
        <w:rPr>
          <w:rFonts w:cs="Times New Roman"/>
        </w:rPr>
      </w:pPr>
      <w:r w:rsidRPr="00BF58D0">
        <w:rPr>
          <w:rFonts w:cs="Times New Roman"/>
        </w:rPr>
        <w:t xml:space="preserve">Das </w:t>
      </w:r>
      <w:r w:rsidRPr="00BF58D0">
        <w:rPr>
          <w:rFonts w:cs="Times New Roman"/>
          <w:b/>
        </w:rPr>
        <w:t>OLG Frankfurt</w:t>
      </w:r>
      <w:r w:rsidRPr="00BF58D0">
        <w:rPr>
          <w:rFonts w:cs="Times New Roman"/>
        </w:rPr>
        <w:t xml:space="preserve"> am Main hat mit Beschluss vom 06.05.2019 entschieden, dass dann wenn ein Grundstück gegen Wohnrecht und Pflegeleistungen veräußert wird, der </w:t>
      </w:r>
      <w:r>
        <w:rPr>
          <w:rFonts w:cs="Times New Roman"/>
        </w:rPr>
        <w:t>sehr frühe</w:t>
      </w:r>
      <w:r w:rsidRPr="00BF58D0">
        <w:rPr>
          <w:rFonts w:cs="Times New Roman"/>
        </w:rPr>
        <w:t xml:space="preserve"> Tod des Ver</w:t>
      </w:r>
      <w:r>
        <w:rPr>
          <w:rFonts w:cs="Times New Roman"/>
        </w:rPr>
        <w:t>käufers nicht zu einer Vertragsa</w:t>
      </w:r>
      <w:r w:rsidRPr="00BF58D0">
        <w:rPr>
          <w:rFonts w:cs="Times New Roman"/>
        </w:rPr>
        <w:t>npassung führt.</w:t>
      </w:r>
      <w:r>
        <w:rPr>
          <w:rFonts w:cs="Times New Roman"/>
        </w:rPr>
        <w:t xml:space="preserve"> </w:t>
      </w:r>
      <w:r w:rsidRPr="00BF58D0">
        <w:rPr>
          <w:rFonts w:cs="Times New Roman"/>
        </w:rPr>
        <w:t xml:space="preserve">Wenn der Veräußerer unerwartet nur drei Wochen nach Vertragsabschluss verstirbt, so ist dies unerheblich, eine vertragliche Regelungslücke liegt nicht vor. Im Ergebnis hat sich nur dasjenige Risiko realisiert, dass die Vertragsparteien mit dem wechselseitigen </w:t>
      </w:r>
      <w:r>
        <w:rPr>
          <w:rFonts w:cs="Times New Roman"/>
        </w:rPr>
        <w:t>Rechten und Pflichten begründen</w:t>
      </w:r>
      <w:r w:rsidRPr="00BF58D0">
        <w:rPr>
          <w:rFonts w:cs="Times New Roman"/>
        </w:rPr>
        <w:t>den Vertragswerk eingegangen sind. Auch liegt kein Wegfall der Geschäftsgrundlage vor, weil bei einer solchen Vertragsgestaltung jederzeit mit dem Tod des (</w:t>
      </w:r>
      <w:r>
        <w:rPr>
          <w:rFonts w:cs="Times New Roman"/>
        </w:rPr>
        <w:t>vorliegend</w:t>
      </w:r>
      <w:r w:rsidRPr="00BF58D0">
        <w:rPr>
          <w:rFonts w:cs="Times New Roman"/>
        </w:rPr>
        <w:t xml:space="preserve"> bei Vertragsschluss 74-jährigen – </w:t>
      </w:r>
      <w:r>
        <w:rPr>
          <w:rFonts w:cs="Times New Roman"/>
        </w:rPr>
        <w:t>Verk</w:t>
      </w:r>
      <w:r w:rsidRPr="00BF58D0">
        <w:rPr>
          <w:rFonts w:cs="Times New Roman"/>
        </w:rPr>
        <w:t>äufers gerechnet werden muss.</w:t>
      </w:r>
    </w:p>
    <w:p w:rsidR="007C427B" w:rsidRDefault="007C427B" w:rsidP="007C427B">
      <w:pPr>
        <w:pStyle w:val="KeinLeerraum"/>
        <w:jc w:val="both"/>
        <w:rPr>
          <w:rFonts w:cs="Times New Roman"/>
        </w:rPr>
      </w:pPr>
    </w:p>
    <w:p w:rsidR="00A07AEB" w:rsidRDefault="00A07AEB" w:rsidP="007C427B">
      <w:pPr>
        <w:pStyle w:val="KeinLeerraum"/>
        <w:jc w:val="both"/>
        <w:rPr>
          <w:rFonts w:cs="Times New Roman"/>
        </w:rPr>
      </w:pPr>
      <w:r w:rsidRPr="00A07AEB">
        <w:rPr>
          <w:rFonts w:cs="Times New Roman"/>
        </w:rPr>
        <w:t xml:space="preserve">Das </w:t>
      </w:r>
      <w:r w:rsidRPr="00A07AEB">
        <w:rPr>
          <w:rFonts w:cs="Times New Roman"/>
          <w:b/>
        </w:rPr>
        <w:t>Landgericht Berlin</w:t>
      </w:r>
      <w:r w:rsidRPr="00A07AEB">
        <w:rPr>
          <w:rFonts w:cs="Times New Roman"/>
        </w:rPr>
        <w:t xml:space="preserve"> hat mit Beschluss vom 18.06.2019 unter Verweis auf ein BGH-Urteil vom 14.11.2018 entschieden, dass dann, wenn in einem Kaufvertrag über ein Mietobjekt für den Erwerber die Eigenbedarfskündigung sowie die Kündigung zum Zwecke einer angemessenen Verwertung des Grundstückes ausgeschlossen wird, es sich dabei um </w:t>
      </w:r>
      <w:r>
        <w:rPr>
          <w:rFonts w:cs="Times New Roman"/>
        </w:rPr>
        <w:t>einen echten Vertrag zugunsten D</w:t>
      </w:r>
      <w:r w:rsidRPr="00A07AEB">
        <w:rPr>
          <w:rFonts w:cs="Times New Roman"/>
        </w:rPr>
        <w:t xml:space="preserve">ritter handelt. Dies gilt auch für einen Zweiterwerber, auch wenn dieser selbst keinen Verzicht auf die Eigenbedarfskündigung erklärt hat. Der Mieter kann deshalb </w:t>
      </w:r>
      <w:r>
        <w:rPr>
          <w:rFonts w:cs="Times New Roman"/>
        </w:rPr>
        <w:t>aufgrund der Vereinbarung vom (Z</w:t>
      </w:r>
      <w:r w:rsidRPr="00A07AEB">
        <w:rPr>
          <w:rFonts w:cs="Times New Roman"/>
        </w:rPr>
        <w:t>weit-) Erwerber die Unterlassung verlangen, wegen Eigenbedarfs oder zum Zwecke einer angemessenen Verwertung des Grundstücks zu kündigen.</w:t>
      </w:r>
    </w:p>
    <w:p w:rsidR="00A07AEB" w:rsidRDefault="00A07AEB" w:rsidP="007C427B">
      <w:pPr>
        <w:pStyle w:val="KeinLeerraum"/>
        <w:jc w:val="both"/>
        <w:rPr>
          <w:rFonts w:cs="Times New Roman"/>
        </w:rPr>
      </w:pPr>
    </w:p>
    <w:p w:rsidR="00A07AEB" w:rsidRDefault="00A07AEB" w:rsidP="007C427B">
      <w:pPr>
        <w:pStyle w:val="KeinLeerraum"/>
        <w:jc w:val="both"/>
        <w:rPr>
          <w:rFonts w:cs="Times New Roman"/>
        </w:rPr>
      </w:pPr>
      <w:r w:rsidRPr="00A07AEB">
        <w:rPr>
          <w:rFonts w:cs="Times New Roman"/>
        </w:rPr>
        <w:t xml:space="preserve">Das </w:t>
      </w:r>
      <w:r w:rsidRPr="00A07AEB">
        <w:rPr>
          <w:rFonts w:cs="Times New Roman"/>
          <w:b/>
        </w:rPr>
        <w:t>Kammergericht Berlin</w:t>
      </w:r>
      <w:r w:rsidRPr="00A07AEB">
        <w:rPr>
          <w:rFonts w:cs="Times New Roman"/>
        </w:rPr>
        <w:t xml:space="preserve"> hat mit Beschluss vom 09.05.2019, unter Aufgabe seiner bisherigen Rechtsprechung, entschieden, dass eine Räumungsverfügung gemäß §§ 940, 940a, Abs. 2 ZPO auch bei Gewerberaum möglich ist</w:t>
      </w:r>
      <w:r>
        <w:rPr>
          <w:rFonts w:cs="Times New Roman"/>
        </w:rPr>
        <w:t xml:space="preserve">. </w:t>
      </w:r>
      <w:r w:rsidRPr="00A07AEB">
        <w:rPr>
          <w:rFonts w:cs="Times New Roman"/>
        </w:rPr>
        <w:t xml:space="preserve">Das Kammergericht betont, dass § 940a ZPO nicht analog anwendbar sei, da eine planwidrige Regelungslücke fehlt. Allerdings lässt § 940 ZPO ganz generell Eilanträge zu, </w:t>
      </w:r>
      <w:r w:rsidRPr="00A07AEB">
        <w:rPr>
          <w:rFonts w:cs="Times New Roman"/>
        </w:rPr>
        <w:lastRenderedPageBreak/>
        <w:t>wenn dies als geboten angesehen wird. Eine Festlegung auf bestimmte Umstände und Gründe ist der Norm nicht zu entnehmen. Die Wertung, die der Gesetzgeber daher in § 940a Abs. 2 ZPO für den grundsätzlich stärker geschützten Wohnraummieter getroffen hat, kann auch bei § 940 ZPO berücksichtigt und als sonstiger Grund anerkannt werden. Aus der Wertung des § 940a ZPO erfolgt, dass eine einstweilige Verfügung in der Regel ergehen kann, nicht aber zwingend ergehen muss, weshalb eine Interessenabwägung vorzunehmen ist. Vorliegend handelte es sich um ein rechtskräftiges Räumungsurteil bei dessen Vollstreckung der Vermieter feststellen musste, dass ein Teil der Räume an einen Untervermieter vermietet wurde.</w:t>
      </w:r>
    </w:p>
    <w:p w:rsidR="00A07AEB" w:rsidRDefault="00A07AEB" w:rsidP="007C427B">
      <w:pPr>
        <w:pStyle w:val="KeinLeerraum"/>
        <w:jc w:val="both"/>
        <w:rPr>
          <w:rFonts w:cs="Times New Roman"/>
        </w:rPr>
      </w:pPr>
    </w:p>
    <w:p w:rsidR="00A07AEB" w:rsidRDefault="005E7A6B" w:rsidP="007C427B">
      <w:pPr>
        <w:pStyle w:val="KeinLeerraum"/>
        <w:jc w:val="both"/>
        <w:rPr>
          <w:rFonts w:cs="Times New Roman"/>
        </w:rPr>
      </w:pPr>
      <w:r w:rsidRPr="005E7A6B">
        <w:rPr>
          <w:rFonts w:cs="Times New Roman"/>
        </w:rPr>
        <w:t xml:space="preserve">Das </w:t>
      </w:r>
      <w:r w:rsidRPr="005E7A6B">
        <w:rPr>
          <w:rFonts w:cs="Times New Roman"/>
          <w:b/>
        </w:rPr>
        <w:t>Landgericht Berlin</w:t>
      </w:r>
      <w:r w:rsidRPr="005E7A6B">
        <w:rPr>
          <w:rFonts w:cs="Times New Roman"/>
        </w:rPr>
        <w:t xml:space="preserve"> hat mit Urteil vom 25.06.2019 entschieden, dass </w:t>
      </w:r>
      <w:r>
        <w:rPr>
          <w:rFonts w:cs="Times New Roman"/>
        </w:rPr>
        <w:t>der</w:t>
      </w:r>
      <w:r w:rsidRPr="005E7A6B">
        <w:rPr>
          <w:rFonts w:cs="Times New Roman"/>
        </w:rPr>
        <w:t xml:space="preserve"> Mieter eines Einfamilienhauses dem Vermieter nicht zum Schadensersatz verpflichtet ist, wenn die Gartenpflege dem Mieter obliegt und er ohne vorherige Einholung einer Genehmigung des Vermieters schadhafte oder in optisch störende Bäume fällt, sofern im schriftlichen Mietvertrag wieder die Befugnis des Mieters zur Entfernung von Bäumen noch der genaue Umfang de</w:t>
      </w:r>
      <w:r>
        <w:rPr>
          <w:rFonts w:cs="Times New Roman"/>
        </w:rPr>
        <w:t>r ihm obliegenden Gartenpflegel</w:t>
      </w:r>
      <w:r w:rsidRPr="005E7A6B">
        <w:rPr>
          <w:rFonts w:cs="Times New Roman"/>
        </w:rPr>
        <w:t>ast im Einzelnen geregelt sind. Etwas anderes gilt jedoch dann, wenn der Vermieter den Mieter vor der Unterzeichnung des auslegungsbedürftigen schriftlichen Mietvertrages darauf hingewiesen hat, dass Bäume ohne seine Zustimmung nicht gefällt oder entfernt werden dürfen.</w:t>
      </w:r>
    </w:p>
    <w:p w:rsidR="00A07AEB" w:rsidRDefault="00A07AEB" w:rsidP="007C427B">
      <w:pPr>
        <w:pStyle w:val="KeinLeerraum"/>
        <w:jc w:val="both"/>
        <w:rPr>
          <w:rFonts w:cs="Times New Roman"/>
        </w:rPr>
      </w:pPr>
    </w:p>
    <w:p w:rsidR="005E7A6B" w:rsidRDefault="006D5D8C" w:rsidP="007C427B">
      <w:pPr>
        <w:pStyle w:val="KeinLeerraum"/>
        <w:jc w:val="both"/>
        <w:rPr>
          <w:rFonts w:cs="Times New Roman"/>
        </w:rPr>
      </w:pPr>
      <w:r w:rsidRPr="006D5D8C">
        <w:rPr>
          <w:rFonts w:cs="Times New Roman"/>
        </w:rPr>
        <w:t xml:space="preserve">Das </w:t>
      </w:r>
      <w:r w:rsidRPr="006D5D8C">
        <w:rPr>
          <w:rFonts w:cs="Times New Roman"/>
          <w:b/>
        </w:rPr>
        <w:t>Amtsgericht München</w:t>
      </w:r>
      <w:r w:rsidRPr="006D5D8C">
        <w:rPr>
          <w:rFonts w:cs="Times New Roman"/>
        </w:rPr>
        <w:t xml:space="preserve"> hat mit Urteil vom 13.12.2018 entschieden, </w:t>
      </w:r>
      <w:r>
        <w:rPr>
          <w:rFonts w:cs="Times New Roman"/>
        </w:rPr>
        <w:t>dass</w:t>
      </w:r>
      <w:r w:rsidRPr="006D5D8C">
        <w:rPr>
          <w:rFonts w:cs="Times New Roman"/>
        </w:rPr>
        <w:t xml:space="preserve"> eine</w:t>
      </w:r>
      <w:r>
        <w:rPr>
          <w:rFonts w:cs="Times New Roman"/>
        </w:rPr>
        <w:t>m</w:t>
      </w:r>
      <w:r w:rsidRPr="006D5D8C">
        <w:rPr>
          <w:rFonts w:cs="Times New Roman"/>
        </w:rPr>
        <w:t xml:space="preserve"> Mieter die Duldung des Zutritts zur Wohnung durch Handwer</w:t>
      </w:r>
      <w:r>
        <w:rPr>
          <w:rFonts w:cs="Times New Roman"/>
        </w:rPr>
        <w:t>ker des Vermieters für die Maßa</w:t>
      </w:r>
      <w:r w:rsidRPr="006D5D8C">
        <w:rPr>
          <w:rFonts w:cs="Times New Roman"/>
        </w:rPr>
        <w:t xml:space="preserve">ufnahme und die Vorbereitung notwendiger Erhaltungsmaßnahmen zumutbar ist. Eine besondere Form der Ankündigung ist gesetzlich nicht vorgeschrieben. Der Mieter kann den Duldungsanspruch nicht davon abhängig machen, dass ihm Ersatzwohnung und Verpflegung zur Verfügung stehen. Dies gilt insbesondere dann, wenn es nur um </w:t>
      </w:r>
      <w:r>
        <w:rPr>
          <w:rFonts w:cs="Times New Roman"/>
        </w:rPr>
        <w:t>einen Termin zum Maßa</w:t>
      </w:r>
      <w:r w:rsidRPr="006D5D8C">
        <w:rPr>
          <w:rFonts w:cs="Times New Roman"/>
        </w:rPr>
        <w:t>ufnahme und Feststellung eventueller Vorarbeiten geht und die Erhaltungsmaßnahmen aus einer Mangelrüge des Mieters resultieren.</w:t>
      </w:r>
    </w:p>
    <w:p w:rsidR="006D5D8C" w:rsidRDefault="006D5D8C" w:rsidP="007C427B">
      <w:pPr>
        <w:pStyle w:val="KeinLeerraum"/>
        <w:jc w:val="both"/>
        <w:rPr>
          <w:rFonts w:cs="Times New Roman"/>
        </w:rPr>
      </w:pPr>
    </w:p>
    <w:p w:rsidR="00A07AEB" w:rsidRDefault="006D5D8C" w:rsidP="007C427B">
      <w:pPr>
        <w:pStyle w:val="KeinLeerraum"/>
        <w:jc w:val="both"/>
        <w:rPr>
          <w:rFonts w:cs="Times New Roman"/>
        </w:rPr>
      </w:pPr>
      <w:r w:rsidRPr="006D5D8C">
        <w:rPr>
          <w:rFonts w:cs="Times New Roman"/>
        </w:rPr>
        <w:t xml:space="preserve">Das </w:t>
      </w:r>
      <w:r w:rsidRPr="006D5D8C">
        <w:rPr>
          <w:rFonts w:cs="Times New Roman"/>
          <w:b/>
        </w:rPr>
        <w:t>OLG Dresden</w:t>
      </w:r>
      <w:r w:rsidRPr="006D5D8C">
        <w:rPr>
          <w:rFonts w:cs="Times New Roman"/>
        </w:rPr>
        <w:t xml:space="preserve"> hat mit Urteil vom 10.07.2019 entschieden, dass eine echte Quadratmetermiete vereinbart ist, wenn die Parteien </w:t>
      </w:r>
      <w:r w:rsidRPr="006D5D8C">
        <w:rPr>
          <w:rFonts w:cs="Times New Roman"/>
        </w:rPr>
        <w:t xml:space="preserve">des Mietvertrages festlegen, dass sich die Miete aus der Größe des Mietobjekts in Quadratmetern multipliziert mit </w:t>
      </w:r>
      <w:r>
        <w:rPr>
          <w:rFonts w:cs="Times New Roman"/>
        </w:rPr>
        <w:t>einem pro qm</w:t>
      </w:r>
      <w:r w:rsidRPr="006D5D8C">
        <w:rPr>
          <w:rFonts w:cs="Times New Roman"/>
        </w:rPr>
        <w:t xml:space="preserve"> zu zahlenden Mietpreis ergibt</w:t>
      </w:r>
      <w:r>
        <w:rPr>
          <w:rFonts w:cs="Times New Roman"/>
        </w:rPr>
        <w:t xml:space="preserve">. </w:t>
      </w:r>
      <w:r w:rsidRPr="006D5D8C">
        <w:rPr>
          <w:rFonts w:cs="Times New Roman"/>
        </w:rPr>
        <w:t xml:space="preserve">In einem solchen Fall </w:t>
      </w:r>
      <w:r>
        <w:rPr>
          <w:rFonts w:cs="Times New Roman"/>
        </w:rPr>
        <w:t>berechtigt</w:t>
      </w:r>
      <w:r w:rsidRPr="006D5D8C">
        <w:rPr>
          <w:rFonts w:cs="Times New Roman"/>
        </w:rPr>
        <w:t xml:space="preserve"> auch eine Flächenabweichung von weniger als 10 % zur Minderung und zur Kündigung</w:t>
      </w:r>
      <w:r>
        <w:rPr>
          <w:rFonts w:cs="Times New Roman"/>
        </w:rPr>
        <w:t xml:space="preserve">. </w:t>
      </w:r>
      <w:r w:rsidRPr="006D5D8C">
        <w:rPr>
          <w:rFonts w:cs="Times New Roman"/>
        </w:rPr>
        <w:t>Wenn eine echte Quadratmetermiete vorliegt, spielt die 10 % Grenze keine Rolle. In diesem Fall bestimmt sich die Miete unmittelbar auf Grundlage der tatsächlichen Fläche. des Mieters angenommen wird.</w:t>
      </w:r>
    </w:p>
    <w:p w:rsidR="006D5D8C" w:rsidRDefault="006D5D8C" w:rsidP="007C427B">
      <w:pPr>
        <w:pStyle w:val="KeinLeerraum"/>
        <w:jc w:val="both"/>
        <w:rPr>
          <w:rFonts w:cs="Times New Roman"/>
        </w:rPr>
      </w:pPr>
    </w:p>
    <w:p w:rsidR="006D5D8C" w:rsidRDefault="00140F8A" w:rsidP="007C427B">
      <w:pPr>
        <w:pStyle w:val="KeinLeerraum"/>
        <w:jc w:val="both"/>
        <w:rPr>
          <w:rFonts w:cs="Times New Roman"/>
        </w:rPr>
      </w:pPr>
      <w:r w:rsidRPr="00140F8A">
        <w:rPr>
          <w:rFonts w:cs="Times New Roman"/>
        </w:rPr>
        <w:t xml:space="preserve">Das </w:t>
      </w:r>
      <w:r w:rsidRPr="00140F8A">
        <w:rPr>
          <w:rFonts w:cs="Times New Roman"/>
          <w:b/>
        </w:rPr>
        <w:t>Landgericht München I</w:t>
      </w:r>
      <w:r w:rsidRPr="00140F8A">
        <w:rPr>
          <w:rFonts w:cs="Times New Roman"/>
        </w:rPr>
        <w:t xml:space="preserve"> hat mit Urteil vom 19.12.2018 entschieden, dass sich der Schutz des guten Glaubens beim Erwerb eines Wohnungseigentums auch auf den Bestand und den Umfang eines im Grundbuch eingetragenen Sondernutzungsrechts erstreckt. Allerdings scheidet ein gutgläubiger Erwerb dann aus, wenn die Eintragung des Sondernutzungsrechts aufgrund unterschiedlicher Angaben im Grundbuch und der ausdrücklich in Bezug genommenen Eintragungsbewilligung widersprüchlich und deshalb unzulässig ist. Der Aufteilungsplan nimmt am öffentlichen Glauben des Grundbuchs nur insoweit Teil,</w:t>
      </w:r>
      <w:r>
        <w:rPr>
          <w:rFonts w:cs="Times New Roman"/>
        </w:rPr>
        <w:t xml:space="preserve"> als es um die Abgrenzung von So</w:t>
      </w:r>
      <w:r w:rsidRPr="00140F8A">
        <w:rPr>
          <w:rFonts w:cs="Times New Roman"/>
        </w:rPr>
        <w:t>nder-</w:t>
      </w:r>
      <w:r>
        <w:rPr>
          <w:rFonts w:cs="Times New Roman"/>
        </w:rPr>
        <w:t xml:space="preserve"> </w:t>
      </w:r>
      <w:r w:rsidRPr="00140F8A">
        <w:rPr>
          <w:rFonts w:cs="Times New Roman"/>
        </w:rPr>
        <w:t>und Gemeinschaftseigentum geht. F</w:t>
      </w:r>
      <w:r>
        <w:rPr>
          <w:rFonts w:cs="Times New Roman"/>
        </w:rPr>
        <w:t>ür den Erwerb des vorgemerkten R</w:t>
      </w:r>
      <w:r w:rsidRPr="00140F8A">
        <w:rPr>
          <w:rFonts w:cs="Times New Roman"/>
        </w:rPr>
        <w:t>echts ist es unschädlich, wenn nach de</w:t>
      </w:r>
      <w:r>
        <w:rPr>
          <w:rFonts w:cs="Times New Roman"/>
        </w:rPr>
        <w:t>m</w:t>
      </w:r>
      <w:r w:rsidRPr="00140F8A">
        <w:rPr>
          <w:rFonts w:cs="Times New Roman"/>
        </w:rPr>
        <w:t xml:space="preserve"> </w:t>
      </w:r>
      <w:r>
        <w:rPr>
          <w:rFonts w:cs="Times New Roman"/>
        </w:rPr>
        <w:t xml:space="preserve">für den gutgläubigen Vormerkungs-erwerbs </w:t>
      </w:r>
      <w:r w:rsidRPr="00140F8A">
        <w:rPr>
          <w:rFonts w:cs="Times New Roman"/>
        </w:rPr>
        <w:t>der maßgeblichen Zeitpunkt der Erwerber bösgläubig geworden ist.</w:t>
      </w:r>
      <w:r>
        <w:rPr>
          <w:rFonts w:cs="Times New Roman"/>
        </w:rPr>
        <w:t xml:space="preserve"> </w:t>
      </w:r>
      <w:r w:rsidRPr="00140F8A">
        <w:rPr>
          <w:rFonts w:cs="Times New Roman"/>
        </w:rPr>
        <w:t>Hat ein erwerbe ein Sondernutzungsrecht gutgläubig erworben, hat er das Recht auf Herstellung und Beibehaltung der entsprechenden Räume, die vom Sondernutzungsrecht umfasst sind. Die dauerhafte Änderung oder Aufhebung eines Sondernutzungsrechts können die übrigen Wohnungseigentümer gegen den Willen des Sondernutzungsberechtigten nur nach Maßgabe von § 10 Abs. 2 Satz 3 WEG und auf den darin geregelten Weg einer Anpassung oder Änderung der Gemeinschaftsordnung herbeiführen</w:t>
      </w:r>
      <w:r>
        <w:rPr>
          <w:rFonts w:cs="Times New Roman"/>
        </w:rPr>
        <w:t>.</w:t>
      </w:r>
    </w:p>
    <w:p w:rsidR="00140F8A" w:rsidRDefault="00140F8A" w:rsidP="007C427B">
      <w:pPr>
        <w:pStyle w:val="KeinLeerraum"/>
        <w:jc w:val="both"/>
        <w:rPr>
          <w:rFonts w:cs="Times New Roman"/>
        </w:rPr>
      </w:pPr>
    </w:p>
    <w:p w:rsidR="00140F8A" w:rsidRDefault="00CB5323" w:rsidP="007C427B">
      <w:pPr>
        <w:pStyle w:val="KeinLeerraum"/>
        <w:jc w:val="both"/>
        <w:rPr>
          <w:rFonts w:cs="Times New Roman"/>
        </w:rPr>
      </w:pPr>
      <w:r w:rsidRPr="00CB5323">
        <w:rPr>
          <w:rFonts w:cs="Times New Roman"/>
        </w:rPr>
        <w:t xml:space="preserve">Das </w:t>
      </w:r>
      <w:r w:rsidRPr="00CB5323">
        <w:rPr>
          <w:rFonts w:cs="Times New Roman"/>
          <w:b/>
        </w:rPr>
        <w:t>Amtsgericht Münster</w:t>
      </w:r>
      <w:r w:rsidRPr="00CB5323">
        <w:rPr>
          <w:rFonts w:cs="Times New Roman"/>
        </w:rPr>
        <w:t xml:space="preserve"> hat mit Urteil vom 15.03.2019 entschieden, dass auch wenn es im Belieben des Vermieters steht, Betriebskosten auszulösen, dies jedoch nicht die Umlagefähigkeit im Einzelfall bedeutet. Diese kann daran scheitern, dass sich die Entscheidung des Vermieters, entgegen der einschlägigen technischen Empfehlungen zur Dichtigkeitsprüfung von Gasleitung den empfohlenen Intervallen um mehr als die Hälfte (hiervon zwölf auf fünf Jahre) zu verkürzen, selbst wenn diese Vermieter Entscheidung über die Anlagen Sicherheit mittelbar auch dem Mieter zugute kommt</w:t>
      </w:r>
      <w:r>
        <w:rPr>
          <w:rFonts w:cs="Times New Roman"/>
        </w:rPr>
        <w:t>.</w:t>
      </w:r>
    </w:p>
    <w:p w:rsidR="00CB5323" w:rsidRDefault="00CB5323" w:rsidP="007C427B">
      <w:pPr>
        <w:pStyle w:val="KeinLeerraum"/>
        <w:jc w:val="both"/>
        <w:rPr>
          <w:rFonts w:cs="Times New Roman"/>
        </w:rPr>
      </w:pPr>
    </w:p>
    <w:p w:rsidR="00CB5323" w:rsidRDefault="00CB5323" w:rsidP="007C427B">
      <w:pPr>
        <w:pStyle w:val="KeinLeerraum"/>
        <w:jc w:val="both"/>
        <w:rPr>
          <w:rFonts w:cs="Times New Roman"/>
        </w:rPr>
      </w:pPr>
      <w:r w:rsidRPr="00CB5323">
        <w:rPr>
          <w:rFonts w:cs="Times New Roman"/>
        </w:rPr>
        <w:t xml:space="preserve">Mit Urteil vom 08.02.2019 hat der </w:t>
      </w:r>
      <w:r w:rsidRPr="00CB5323">
        <w:rPr>
          <w:rFonts w:cs="Times New Roman"/>
          <w:b/>
        </w:rPr>
        <w:t>BGH</w:t>
      </w:r>
      <w:r w:rsidRPr="00CB5323">
        <w:rPr>
          <w:rFonts w:cs="Times New Roman"/>
        </w:rPr>
        <w:t xml:space="preserve"> entschieden, dass die Wohnungseigentümergemeinschaft die individuellen Schadensersatzansprüche der Wohnungseigentümer gegen den Verwalter wegen der ihnen in</w:t>
      </w:r>
      <w:r>
        <w:rPr>
          <w:rFonts w:cs="Times New Roman"/>
        </w:rPr>
        <w:t xml:space="preserve"> einem Beschlussmängelverfahren auferleg</w:t>
      </w:r>
      <w:r w:rsidRPr="00CB5323">
        <w:rPr>
          <w:rFonts w:cs="Times New Roman"/>
        </w:rPr>
        <w:t>ten Kosten an sich ziehen und im eigenen Namen in gesetzlicher Prozessstandschaft Prozessstandschaft geltend machen kann (</w:t>
      </w:r>
      <w:r>
        <w:rPr>
          <w:rFonts w:cs="Times New Roman"/>
        </w:rPr>
        <w:t>gekorene Ausübungsbefugnis)</w:t>
      </w:r>
      <w:r w:rsidRPr="00CB5323">
        <w:rPr>
          <w:rFonts w:cs="Times New Roman"/>
        </w:rPr>
        <w:t>. Hiervon ausgenommen sind Schadensersatzansprüche wegen Kosten, die einem Wohnungseigentümer durch die Beauftragung eines eigenen Rechtsanwaltes entstanden sind.</w:t>
      </w:r>
    </w:p>
    <w:p w:rsidR="00CB5323" w:rsidRDefault="00CB5323" w:rsidP="007C427B">
      <w:pPr>
        <w:pStyle w:val="KeinLeerraum"/>
        <w:jc w:val="both"/>
        <w:rPr>
          <w:rFonts w:cs="Times New Roman"/>
        </w:rPr>
      </w:pPr>
    </w:p>
    <w:p w:rsidR="00CB5323" w:rsidRDefault="00CB5323" w:rsidP="007C427B">
      <w:pPr>
        <w:pStyle w:val="KeinLeerraum"/>
        <w:jc w:val="both"/>
        <w:rPr>
          <w:rFonts w:cs="Times New Roman"/>
        </w:rPr>
      </w:pPr>
      <w:bookmarkStart w:id="0" w:name="_GoBack"/>
      <w:bookmarkEnd w:id="0"/>
    </w:p>
    <w:p w:rsidR="006D5D8C" w:rsidRDefault="006D5D8C" w:rsidP="007C427B">
      <w:pPr>
        <w:pStyle w:val="KeinLeerraum"/>
        <w:jc w:val="both"/>
        <w:rPr>
          <w:rFonts w:cs="Times New Roman"/>
        </w:rPr>
      </w:pPr>
    </w:p>
    <w:p w:rsidR="006D5D8C" w:rsidRPr="007C427B" w:rsidRDefault="006D5D8C" w:rsidP="007C427B">
      <w:pPr>
        <w:pStyle w:val="KeinLeerraum"/>
        <w:jc w:val="both"/>
        <w:rPr>
          <w:rFonts w:cs="Times New Roman"/>
        </w:rPr>
      </w:pPr>
    </w:p>
    <w:p w:rsidR="007C427B" w:rsidRDefault="00422D09"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639D"/>
    <w:rsid w:val="0005726D"/>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100EB4"/>
    <w:rsid w:val="00101E98"/>
    <w:rsid w:val="00107AE4"/>
    <w:rsid w:val="00111066"/>
    <w:rsid w:val="0011246D"/>
    <w:rsid w:val="00112CFD"/>
    <w:rsid w:val="00124835"/>
    <w:rsid w:val="00134C7F"/>
    <w:rsid w:val="001375AE"/>
    <w:rsid w:val="00140F8A"/>
    <w:rsid w:val="00141F2D"/>
    <w:rsid w:val="00174475"/>
    <w:rsid w:val="001745A0"/>
    <w:rsid w:val="00175CBB"/>
    <w:rsid w:val="001815DE"/>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78EC"/>
    <w:rsid w:val="00327D32"/>
    <w:rsid w:val="00333BA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06D4F"/>
    <w:rsid w:val="0041131A"/>
    <w:rsid w:val="00421B19"/>
    <w:rsid w:val="00422D0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567C3"/>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6D6"/>
    <w:rsid w:val="006209B9"/>
    <w:rsid w:val="006361D2"/>
    <w:rsid w:val="00657ECD"/>
    <w:rsid w:val="00680628"/>
    <w:rsid w:val="00687B22"/>
    <w:rsid w:val="0069034D"/>
    <w:rsid w:val="006925CB"/>
    <w:rsid w:val="006B28C0"/>
    <w:rsid w:val="006B6F81"/>
    <w:rsid w:val="006C63AC"/>
    <w:rsid w:val="006C7730"/>
    <w:rsid w:val="006D5A1E"/>
    <w:rsid w:val="006D5D8C"/>
    <w:rsid w:val="006E7255"/>
    <w:rsid w:val="006E7EE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A1505"/>
    <w:rsid w:val="008A25EE"/>
    <w:rsid w:val="008D3683"/>
    <w:rsid w:val="008D4863"/>
    <w:rsid w:val="008D7AD3"/>
    <w:rsid w:val="008E1688"/>
    <w:rsid w:val="008F6FB7"/>
    <w:rsid w:val="00901C06"/>
    <w:rsid w:val="00907E5D"/>
    <w:rsid w:val="009209B4"/>
    <w:rsid w:val="00927643"/>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23B8"/>
    <w:rsid w:val="009B62EF"/>
    <w:rsid w:val="009C1151"/>
    <w:rsid w:val="009C21B2"/>
    <w:rsid w:val="009C59AB"/>
    <w:rsid w:val="009D717F"/>
    <w:rsid w:val="009E27FB"/>
    <w:rsid w:val="009E3F68"/>
    <w:rsid w:val="00A01125"/>
    <w:rsid w:val="00A07AEB"/>
    <w:rsid w:val="00A233C0"/>
    <w:rsid w:val="00A2440B"/>
    <w:rsid w:val="00A266BF"/>
    <w:rsid w:val="00A4659F"/>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503C"/>
    <w:rsid w:val="00B053D4"/>
    <w:rsid w:val="00B13894"/>
    <w:rsid w:val="00B203F4"/>
    <w:rsid w:val="00B24EB7"/>
    <w:rsid w:val="00B30D91"/>
    <w:rsid w:val="00B3690C"/>
    <w:rsid w:val="00B36A2F"/>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67EB"/>
    <w:rsid w:val="00BD550B"/>
    <w:rsid w:val="00BE1AB1"/>
    <w:rsid w:val="00BE6120"/>
    <w:rsid w:val="00BE7524"/>
    <w:rsid w:val="00BF43FA"/>
    <w:rsid w:val="00BF58D0"/>
    <w:rsid w:val="00C00761"/>
    <w:rsid w:val="00C00B2E"/>
    <w:rsid w:val="00C02FCF"/>
    <w:rsid w:val="00C03ED6"/>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B5323"/>
    <w:rsid w:val="00CC3018"/>
    <w:rsid w:val="00CD0574"/>
    <w:rsid w:val="00CD42C9"/>
    <w:rsid w:val="00CD782B"/>
    <w:rsid w:val="00CE262C"/>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4F90"/>
    <w:rsid w:val="00DF083C"/>
    <w:rsid w:val="00E02823"/>
    <w:rsid w:val="00E13739"/>
    <w:rsid w:val="00E147D7"/>
    <w:rsid w:val="00E1738B"/>
    <w:rsid w:val="00E21339"/>
    <w:rsid w:val="00E30406"/>
    <w:rsid w:val="00E32087"/>
    <w:rsid w:val="00E34B62"/>
    <w:rsid w:val="00E4770E"/>
    <w:rsid w:val="00E54C87"/>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55819"/>
    <w:rsid w:val="00F60512"/>
    <w:rsid w:val="00F61F47"/>
    <w:rsid w:val="00F64EFD"/>
    <w:rsid w:val="00F65ADF"/>
    <w:rsid w:val="00F83B09"/>
    <w:rsid w:val="00F85A4C"/>
    <w:rsid w:val="00F913D9"/>
    <w:rsid w:val="00F950E3"/>
    <w:rsid w:val="00F95FDC"/>
    <w:rsid w:val="00FA142D"/>
    <w:rsid w:val="00FB5FDB"/>
    <w:rsid w:val="00FB7E93"/>
    <w:rsid w:val="00FC6C4E"/>
    <w:rsid w:val="00FD5133"/>
    <w:rsid w:val="00FD6989"/>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DFC1"/>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b78b0919-eef4-4c67-8a09-328c8fa581f2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132A-61B1-4369-9E96-D1D3FBBE6793}">
  <ds:schemaRefs>
    <ds:schemaRef ds:uri="http://www.datev.de/BSOffice/999929"/>
  </ds:schemaRefs>
</ds:datastoreItem>
</file>

<file path=customXml/itemProps2.xml><?xml version="1.0" encoding="utf-8"?>
<ds:datastoreItem xmlns:ds="http://schemas.openxmlformats.org/officeDocument/2006/customXml" ds:itemID="{BE0EB019-B46F-47A7-98D5-323A5DD9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7</cp:revision>
  <cp:lastPrinted>2019-01-17T09:30:00Z</cp:lastPrinted>
  <dcterms:created xsi:type="dcterms:W3CDTF">2019-08-30T06:16:00Z</dcterms:created>
  <dcterms:modified xsi:type="dcterms:W3CDTF">2019-09-17T08:32:00Z</dcterms:modified>
</cp:coreProperties>
</file>