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106D6">
                              <w:rPr>
                                <w:b/>
                                <w:sz w:val="28"/>
                              </w:rPr>
                              <w:t>September</w:t>
                            </w:r>
                            <w:r w:rsidR="005B4907">
                              <w:rPr>
                                <w:b/>
                                <w:sz w:val="28"/>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106D6">
                        <w:rPr>
                          <w:b/>
                          <w:sz w:val="28"/>
                        </w:rPr>
                        <w:t>September</w:t>
                      </w:r>
                      <w:r w:rsidR="005B4907">
                        <w:rPr>
                          <w:b/>
                          <w:sz w:val="28"/>
                        </w:rPr>
                        <w:t xml:space="preserve"> 2019</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5B4907" w:rsidRDefault="005B4907" w:rsidP="00F16BD1">
      <w:pPr>
        <w:pStyle w:val="KeinLeerraum"/>
        <w:jc w:val="both"/>
        <w:rPr>
          <w:rFonts w:cs="Times New Roman"/>
        </w:rPr>
      </w:pPr>
    </w:p>
    <w:p w:rsidR="006106D6" w:rsidRDefault="006106D6" w:rsidP="001E1FDB">
      <w:pPr>
        <w:pStyle w:val="KeinLeerraum"/>
        <w:jc w:val="both"/>
        <w:rPr>
          <w:rFonts w:cs="Times New Roman"/>
        </w:rPr>
      </w:pPr>
      <w:r w:rsidRPr="006106D6">
        <w:rPr>
          <w:rFonts w:cs="Times New Roman"/>
        </w:rPr>
        <w:t xml:space="preserve">Der </w:t>
      </w:r>
      <w:r w:rsidRPr="006106D6">
        <w:rPr>
          <w:rFonts w:cs="Times New Roman"/>
          <w:b/>
        </w:rPr>
        <w:t>BGH</w:t>
      </w:r>
      <w:r w:rsidRPr="006106D6">
        <w:rPr>
          <w:rFonts w:cs="Times New Roman"/>
        </w:rPr>
        <w:t xml:space="preserve"> hat mit Urteil vom 17.04.2019 entschieden, dass die vereinbarte Miete auch dann für die Berechnung der Kappungsgrenze maßgeblich ist, wenn die Miete gemindert wird. Das ist auch bei einer erheblichen Flächenabweichung der Fall, die einen nicht zu behebenden M</w:t>
      </w:r>
      <w:r>
        <w:rPr>
          <w:rFonts w:cs="Times New Roman"/>
        </w:rPr>
        <w:t xml:space="preserve">angel darstellt. </w:t>
      </w:r>
      <w:r w:rsidRPr="006106D6">
        <w:rPr>
          <w:rFonts w:cs="Times New Roman"/>
        </w:rPr>
        <w:t xml:space="preserve">Eine kraft Gesetzes eintretende Mietminderung, hier wegen Flächenabweichung, bleibt außer Betracht. Der Mieter soll durch die Kappungsgrenze vor einem zu </w:t>
      </w:r>
      <w:r>
        <w:rPr>
          <w:rFonts w:cs="Times New Roman"/>
        </w:rPr>
        <w:t>rachen Mietanstieg</w:t>
      </w:r>
      <w:r w:rsidRPr="006106D6">
        <w:rPr>
          <w:rFonts w:cs="Times New Roman"/>
        </w:rPr>
        <w:t xml:space="preserve"> bewahrt werden, sodass sich sein Schutz an der </w:t>
      </w:r>
      <w:r>
        <w:rPr>
          <w:rFonts w:cs="Times New Roman"/>
        </w:rPr>
        <w:t>Miethö</w:t>
      </w:r>
      <w:r w:rsidRPr="006106D6">
        <w:rPr>
          <w:rFonts w:cs="Times New Roman"/>
        </w:rPr>
        <w:t>hevereinbarungen orientiert, also daran, was er zu leisten bereit war, für sic</w:t>
      </w:r>
      <w:r>
        <w:rPr>
          <w:rFonts w:cs="Times New Roman"/>
        </w:rPr>
        <w:t>h als wirtschaftlich tragfähig ansah.</w:t>
      </w:r>
    </w:p>
    <w:p w:rsidR="006106D6" w:rsidRDefault="006106D6" w:rsidP="001E1FDB">
      <w:pPr>
        <w:pStyle w:val="KeinLeerraum"/>
        <w:jc w:val="both"/>
        <w:rPr>
          <w:rFonts w:cs="Times New Roman"/>
        </w:rPr>
      </w:pPr>
    </w:p>
    <w:p w:rsidR="006106D6" w:rsidRDefault="006106D6" w:rsidP="001E1FDB">
      <w:pPr>
        <w:pStyle w:val="KeinLeerraum"/>
        <w:jc w:val="both"/>
        <w:rPr>
          <w:rFonts w:cs="Times New Roman"/>
        </w:rPr>
      </w:pPr>
      <w:r w:rsidRPr="006106D6">
        <w:rPr>
          <w:rFonts w:cs="Times New Roman"/>
        </w:rPr>
        <w:t xml:space="preserve">Mit Beschluss vom 07.03.2019 hat der </w:t>
      </w:r>
      <w:r w:rsidRPr="006106D6">
        <w:rPr>
          <w:rFonts w:cs="Times New Roman"/>
          <w:b/>
        </w:rPr>
        <w:t>BGH</w:t>
      </w:r>
      <w:r w:rsidRPr="006106D6">
        <w:rPr>
          <w:rFonts w:cs="Times New Roman"/>
        </w:rPr>
        <w:t xml:space="preserve"> entschieden, dass eine Geschlechtsumwandlung die Identität einer Person nicht geändert. Für die rechtskonforme Darstellung im Grundbuch eröffnet der BGH den Weg der Umschreibung des Grundbuches. Nach einer rechtskräftig vom Amtsgericht Berlin-Schöneberg bestätigten Geschlechtsumwandlung beantragte die Antragstellerin beim Grundbuchamt eine Namensberichtigung von den beiden im Grundbuch verzeichneten männlichen Vornamen in ihren aktuellen weiblichen Vornamen.</w:t>
      </w:r>
      <w:r>
        <w:rPr>
          <w:rFonts w:cs="Times New Roman"/>
        </w:rPr>
        <w:t xml:space="preserve"> Einge</w:t>
      </w:r>
      <w:r w:rsidRPr="006106D6">
        <w:rPr>
          <w:rFonts w:cs="Times New Roman"/>
        </w:rPr>
        <w:t>tragen wird, dass die Eigentümerin aufgrund gerichtlichen Entscheidung den Vornamen "C." führt</w:t>
      </w:r>
      <w:r>
        <w:rPr>
          <w:rFonts w:cs="Times New Roman"/>
        </w:rPr>
        <w:t xml:space="preserve">. </w:t>
      </w:r>
      <w:r w:rsidRPr="006106D6">
        <w:rPr>
          <w:rFonts w:cs="Times New Roman"/>
        </w:rPr>
        <w:t>Das Rechtsschutzziel der Antragstellerin geht dahin, dass die Eigentümerin mit neuem Namen eingetragen wird, ohne die Namensänderung zu erwähnen. Der BGH hat das Grundbuchamt angewiesen, das entspre</w:t>
      </w:r>
      <w:r>
        <w:rPr>
          <w:rFonts w:cs="Times New Roman"/>
        </w:rPr>
        <w:t xml:space="preserve">chende Grundbuch Blatt analog §§ </w:t>
      </w:r>
      <w:r w:rsidRPr="006106D6">
        <w:rPr>
          <w:rFonts w:cs="Times New Roman"/>
        </w:rPr>
        <w:t>28 ff. GBV umzuschreiben.</w:t>
      </w:r>
      <w:r>
        <w:rPr>
          <w:rFonts w:cs="Times New Roman"/>
        </w:rPr>
        <w:t xml:space="preserve"> Auch bei einer auf Geschlechtsu</w:t>
      </w:r>
      <w:r w:rsidRPr="006106D6">
        <w:rPr>
          <w:rFonts w:cs="Times New Roman"/>
        </w:rPr>
        <w:t>mwandlung beruhenden Namensänderung ist eine Grundbuchkorre</w:t>
      </w:r>
      <w:r>
        <w:rPr>
          <w:rFonts w:cs="Times New Roman"/>
        </w:rPr>
        <w:t xml:space="preserve">ktur erforderlich. Das aus § 5 TSG folgende Offenbarungsverbot </w:t>
      </w:r>
      <w:r w:rsidRPr="006106D6">
        <w:rPr>
          <w:rFonts w:cs="Times New Roman"/>
        </w:rPr>
        <w:t>steht einer Richtigstellung nicht entgegen, ist aber hinreichend zu beachten.</w:t>
      </w:r>
      <w:r>
        <w:rPr>
          <w:rFonts w:cs="Times New Roman"/>
        </w:rPr>
        <w:t xml:space="preserve"> </w:t>
      </w:r>
      <w:r w:rsidRPr="006106D6">
        <w:rPr>
          <w:rFonts w:cs="Times New Roman"/>
        </w:rPr>
        <w:t>Dies bereitet insofern Schwierigkeiten, als die früheren Eintragungen aus dem Grundbuch weiter ersichtlich sind, was aus der Publizitätsfunktion des Grundbuchs folgt. Das Offenbarungsverbot rechtfertigt insoweit auch keine unrichtigen oder irreführenden Eintragungen.</w:t>
      </w:r>
      <w:r>
        <w:rPr>
          <w:rFonts w:cs="Times New Roman"/>
        </w:rPr>
        <w:t xml:space="preserve"> </w:t>
      </w:r>
      <w:r w:rsidRPr="006106D6">
        <w:rPr>
          <w:rFonts w:cs="Times New Roman"/>
        </w:rPr>
        <w:t>Der Schutz der Beschwerdeführerin macht es damit erforderlich, weil mangels Vor</w:t>
      </w:r>
      <w:r w:rsidRPr="006106D6">
        <w:rPr>
          <w:rFonts w:cs="Times New Roman"/>
        </w:rPr>
        <w:t>liegen der Tatbestandsvoraussetzungen eine unmittelbare Anwendung nicht in Betracht kommt, das Grundbuch in entsprechender Anwendung der §</w:t>
      </w:r>
      <w:r>
        <w:rPr>
          <w:rFonts w:cs="Times New Roman"/>
        </w:rPr>
        <w:t>§</w:t>
      </w:r>
      <w:r w:rsidRPr="006106D6">
        <w:rPr>
          <w:rFonts w:cs="Times New Roman"/>
        </w:rPr>
        <w:t xml:space="preserve"> 28 ff. GBV durch Schließen des bisherigen und der Öffnen eines neuen Grundbuchblatts, dieses auf das alte verweisend, umzuschreiben. Im neuen Grundbuch sind die aktuellen Daten verzeichnet, ein Hinweis auf den Namenswechsel unterbleibt. Vermerkt wird nur, dass eine Neuanlage ohne Eigentumswechsel erfolgte. </w:t>
      </w:r>
    </w:p>
    <w:p w:rsidR="006106D6" w:rsidRDefault="006106D6" w:rsidP="001E1FDB">
      <w:pPr>
        <w:pStyle w:val="KeinLeerraum"/>
        <w:jc w:val="both"/>
        <w:rPr>
          <w:rFonts w:cs="Times New Roman"/>
        </w:rPr>
      </w:pPr>
    </w:p>
    <w:p w:rsidR="006106D6" w:rsidRDefault="006106D6" w:rsidP="001E1FDB">
      <w:pPr>
        <w:pStyle w:val="KeinLeerraum"/>
        <w:jc w:val="both"/>
        <w:rPr>
          <w:rFonts w:cs="Times New Roman"/>
        </w:rPr>
      </w:pPr>
      <w:r w:rsidRPr="006106D6">
        <w:rPr>
          <w:rFonts w:cs="Times New Roman"/>
        </w:rPr>
        <w:t xml:space="preserve">Das </w:t>
      </w:r>
      <w:r w:rsidRPr="00051F36">
        <w:rPr>
          <w:rFonts w:cs="Times New Roman"/>
          <w:b/>
        </w:rPr>
        <w:t>OLG Braunschweig</w:t>
      </w:r>
      <w:r w:rsidRPr="006106D6">
        <w:rPr>
          <w:rFonts w:cs="Times New Roman"/>
        </w:rPr>
        <w:t xml:space="preserve"> hat mit Urteil vom 20.06.2019 ent</w:t>
      </w:r>
      <w:r w:rsidR="00051F36">
        <w:rPr>
          <w:rFonts w:cs="Times New Roman"/>
        </w:rPr>
        <w:t>schieden, dass der Käufer eine g</w:t>
      </w:r>
      <w:r w:rsidR="00051F36" w:rsidRPr="00051F36">
        <w:rPr>
          <w:rFonts w:cs="Times New Roman"/>
        </w:rPr>
        <w:t xml:space="preserve">ehobenen Wohnung </w:t>
      </w:r>
      <w:r w:rsidRPr="006106D6">
        <w:rPr>
          <w:rFonts w:cs="Times New Roman"/>
        </w:rPr>
        <w:t xml:space="preserve"> bei zu engen Tiefgaragenstellplatz einen Anspruch auf Kaufpreisminderung hat. Der Erwerber einer gehobenen Eigentumswohnung mit einem dazugehörenden hochpreisigen Tiefgaragenstellplatz kann eine Wertminderung vo</w:t>
      </w:r>
      <w:r w:rsidR="00051F36">
        <w:rPr>
          <w:rFonts w:cs="Times New Roman"/>
        </w:rPr>
        <w:t>n zwei Dritteln des Stellplatzk</w:t>
      </w:r>
      <w:r w:rsidRPr="006106D6">
        <w:rPr>
          <w:rFonts w:cs="Times New Roman"/>
        </w:rPr>
        <w:t>aufpreises durchsetzen, wenn dieser an der engsten Stelle nur 2</w:t>
      </w:r>
      <w:r w:rsidR="00051F36">
        <w:rPr>
          <w:rFonts w:cs="Times New Roman"/>
        </w:rPr>
        <w:t>,50 m misst und nur unter aufwä</w:t>
      </w:r>
      <w:r w:rsidRPr="006106D6">
        <w:rPr>
          <w:rFonts w:cs="Times New Roman"/>
        </w:rPr>
        <w:t>ndigen Rangieren befahrbar ist. Ein solcher Stellplatz sei mangelhaft, da der Käufer eines solchen Objektes erwarten könne, den Abste</w:t>
      </w:r>
      <w:r w:rsidR="00051F36">
        <w:rPr>
          <w:rFonts w:cs="Times New Roman"/>
        </w:rPr>
        <w:t>llplatz mit einem Mittelklassef</w:t>
      </w:r>
      <w:r w:rsidRPr="006106D6">
        <w:rPr>
          <w:rFonts w:cs="Times New Roman"/>
        </w:rPr>
        <w:t>ahrzeug in zumutbarer Weise nutzen zu können.</w:t>
      </w:r>
      <w:r w:rsidR="00051F36" w:rsidRPr="00051F36">
        <w:t xml:space="preserve"> </w:t>
      </w:r>
      <w:r w:rsidR="00051F36" w:rsidRPr="00051F36">
        <w:rPr>
          <w:rFonts w:cs="Times New Roman"/>
        </w:rPr>
        <w:t>Ob der Stellplatz gemäß den Regelungen der Niedersächsischen Garagen-</w:t>
      </w:r>
      <w:r w:rsidR="00051F36">
        <w:rPr>
          <w:rFonts w:cs="Times New Roman"/>
        </w:rPr>
        <w:t xml:space="preserve"> </w:t>
      </w:r>
      <w:r w:rsidR="00051F36" w:rsidRPr="00051F36">
        <w:rPr>
          <w:rFonts w:cs="Times New Roman"/>
        </w:rPr>
        <w:t>und Stellplatz Verordnung errichtet worden sei, sei für die Entscheidung des Rechtsstreits nicht wesentlich. Es komme allein darauf an, ob der Stellplatz seine Funktion erfüllen. Dies sei vorliegend nicht der Fall. Eine Wertminderung von 2/3 des Kaufpreises sei angemessen, da der Stellplatz für die weit überwiegende Zahl von Personenkraftwagen nur eingeschränkt genutzt werden könne.</w:t>
      </w:r>
    </w:p>
    <w:p w:rsidR="00051F36" w:rsidRDefault="00051F36" w:rsidP="001E1FDB">
      <w:pPr>
        <w:pStyle w:val="KeinLeerraum"/>
        <w:jc w:val="both"/>
        <w:rPr>
          <w:rFonts w:cs="Times New Roman"/>
        </w:rPr>
      </w:pPr>
    </w:p>
    <w:p w:rsidR="00051F36" w:rsidRDefault="00051F36" w:rsidP="001E1FDB">
      <w:pPr>
        <w:pStyle w:val="KeinLeerraum"/>
        <w:jc w:val="both"/>
        <w:rPr>
          <w:rFonts w:cs="Times New Roman"/>
        </w:rPr>
      </w:pPr>
      <w:r w:rsidRPr="00051F36">
        <w:rPr>
          <w:rFonts w:cs="Times New Roman"/>
        </w:rPr>
        <w:t xml:space="preserve">Mit Urteil vom 22.05.2019 hat der </w:t>
      </w:r>
      <w:r w:rsidRPr="00051F36">
        <w:rPr>
          <w:rFonts w:cs="Times New Roman"/>
          <w:b/>
        </w:rPr>
        <w:t>BGH</w:t>
      </w:r>
      <w:r w:rsidRPr="00051F36">
        <w:rPr>
          <w:rFonts w:cs="Times New Roman"/>
        </w:rPr>
        <w:t xml:space="preserve"> eine Entscheidung zur Sozialklausel </w:t>
      </w:r>
      <w:r>
        <w:rPr>
          <w:rFonts w:cs="Times New Roman"/>
        </w:rPr>
        <w:t>v</w:t>
      </w:r>
      <w:r w:rsidRPr="00051F36">
        <w:rPr>
          <w:rFonts w:cs="Times New Roman"/>
        </w:rPr>
        <w:t>or dem Hintergrund hohes Alter, Lange Wohnzeit und altersbedingte Krankheit als Härtegrund gefällt</w:t>
      </w:r>
      <w:r>
        <w:rPr>
          <w:rFonts w:cs="Times New Roman"/>
        </w:rPr>
        <w:t xml:space="preserve">. </w:t>
      </w:r>
      <w:r w:rsidRPr="00051F36">
        <w:rPr>
          <w:rFonts w:cs="Times New Roman"/>
        </w:rPr>
        <w:t>Da sich ein hohes Alter eines Mieters und/oder eine lange Mietdauer mit einer damit einhergehenden langjährigen Verwurzelung im bisherigen Umfeld je nach Persönlichkeit und körperlicher sowie psychischer Verfassung des Mieters unterschiedlich stark auswirken können, rechtfertigen diese Umstände ohne weitere Feststellungen zu den sich hieraus ergebenden Folgen im Falle eines erzwungenen Wohnungswechsels grundsätzlich noch keine Härte i. S. d. § 574 Abs. 1 Satz 1 BGB.</w:t>
      </w:r>
      <w:r>
        <w:rPr>
          <w:rFonts w:cs="Times New Roman"/>
        </w:rPr>
        <w:t xml:space="preserve"> </w:t>
      </w:r>
      <w:r w:rsidRPr="00051F36">
        <w:rPr>
          <w:rFonts w:cs="Times New Roman"/>
        </w:rPr>
        <w:t xml:space="preserve">Kommen zu diesen Umständen Erkrankungen hinzu (hier Demenz), aufgrund derer beim Mieter im Falle </w:t>
      </w:r>
      <w:r w:rsidRPr="00051F36">
        <w:rPr>
          <w:rFonts w:cs="Times New Roman"/>
        </w:rPr>
        <w:lastRenderedPageBreak/>
        <w:t>seines Herauslösen ist aus seiner näheren Umgebung eine Verschlechterung seines gesundheitlichen Zustand zu erwarten steht, kann dies in der Gesamtschau zu einer Härte führen. Wenn der gesundheitliche Zustand des Mieters einen Umzug nicht zulässt oder im Falle eines Wohnungswechsels zumindest die ernsthafte Gefahr einer erheblichen Verschlechterung der gesundheitlichen Situation des schwer erkrankten Mieters besteht, kann sogar allein dies einen Härtegrund darstellen.</w:t>
      </w:r>
    </w:p>
    <w:p w:rsidR="00051F36" w:rsidRDefault="00051F36" w:rsidP="001E1FDB">
      <w:pPr>
        <w:pStyle w:val="KeinLeerraum"/>
        <w:jc w:val="both"/>
        <w:rPr>
          <w:rFonts w:cs="Times New Roman"/>
        </w:rPr>
      </w:pPr>
    </w:p>
    <w:p w:rsidR="00051F36" w:rsidRDefault="00174475" w:rsidP="001E1FDB">
      <w:pPr>
        <w:pStyle w:val="KeinLeerraum"/>
        <w:jc w:val="both"/>
        <w:rPr>
          <w:rFonts w:cs="Times New Roman"/>
        </w:rPr>
      </w:pPr>
      <w:r w:rsidRPr="00174475">
        <w:rPr>
          <w:rFonts w:cs="Times New Roman"/>
        </w:rPr>
        <w:t xml:space="preserve">Ebenfalls am 22.05.2019 hat der </w:t>
      </w:r>
      <w:r w:rsidRPr="00174475">
        <w:rPr>
          <w:rFonts w:cs="Times New Roman"/>
          <w:b/>
        </w:rPr>
        <w:t>BGH</w:t>
      </w:r>
      <w:r w:rsidRPr="00174475">
        <w:rPr>
          <w:rFonts w:cs="Times New Roman"/>
        </w:rPr>
        <w:t xml:space="preserve"> eine weitere Entscheidung zur Anwendung der Sozialklausel vor dem Hintergrund des fehlenden Ersatzraums als Härtegrund getroffen. Der Härtegrund des zu zumutbaren Bedingungen nicht zu beschaffenden den Ersatzwohnraums ist nicht bereits dann gegeben, wenn im Gemeindegebiet gerichtsbekannt eine angespannte Wohnlage herrscht, die auch zum Erlass von diesem Umstand Rechnung tragenden Verordnungen geführt hat. Eine festgestellte und/oder in Verordnungen zugrunde gelegte angespannte Wohnlage kann allenfalls ein Indiz für das Vorliegen eines Härtegrundes nach § 574 Abs. 2 BGB darstellen, dass in Verbindung mit substantiierten (unstreitigem oder nachgewiesenem) Parteivortrag zu konkret ergriffenen Maßnahmen zu der tatrichterlichen Überzeugung führen kann, dass angemessener Wohnraum zu zumutbaren Bedingungen für den Mieter (und seine Familien- oder Haushaltsangehörigen) nicht zu erlangen ist.</w:t>
      </w:r>
    </w:p>
    <w:p w:rsidR="006106D6" w:rsidRDefault="006106D6" w:rsidP="001E1FDB">
      <w:pPr>
        <w:pStyle w:val="KeinLeerraum"/>
        <w:jc w:val="both"/>
        <w:rPr>
          <w:rFonts w:cs="Times New Roman"/>
        </w:rPr>
      </w:pPr>
    </w:p>
    <w:p w:rsidR="00174475" w:rsidRDefault="00174475" w:rsidP="001E1FDB">
      <w:pPr>
        <w:pStyle w:val="KeinLeerraum"/>
        <w:jc w:val="both"/>
        <w:rPr>
          <w:rFonts w:cs="Times New Roman"/>
        </w:rPr>
      </w:pPr>
      <w:r w:rsidRPr="00174475">
        <w:rPr>
          <w:rFonts w:cs="Times New Roman"/>
        </w:rPr>
        <w:t xml:space="preserve">Mit Urteil vom 22.05.2019 hat der </w:t>
      </w:r>
      <w:r w:rsidRPr="00174475">
        <w:rPr>
          <w:rFonts w:cs="Times New Roman"/>
          <w:b/>
        </w:rPr>
        <w:t>BGH</w:t>
      </w:r>
      <w:r w:rsidRPr="00174475">
        <w:rPr>
          <w:rFonts w:cs="Times New Roman"/>
        </w:rPr>
        <w:t xml:space="preserve"> entschieden, dass der Vermieter die Wohnung nicht erst dann benötigt, wenn der auf die Nutzung der Wohnung angewiesen ist, sondern bereits dann, wenn der ernsthaft verfolgte Eigenbedarfs Wunsch auf vernünftige und nachvollziehbare Gründe gestützt wi</w:t>
      </w:r>
      <w:r>
        <w:rPr>
          <w:rFonts w:cs="Times New Roman"/>
        </w:rPr>
        <w:t>rd. Entfällt der Bedarfgsgrund</w:t>
      </w:r>
      <w:r w:rsidRPr="00174475">
        <w:rPr>
          <w:rFonts w:cs="Times New Roman"/>
        </w:rPr>
        <w:t xml:space="preserve"> nach Ablauf der Kündigungsfrist, ist dies für die Wirksamkeit der Eigenbedarfskündigung unerheblich.</w:t>
      </w:r>
      <w:r>
        <w:rPr>
          <w:rFonts w:cs="Times New Roman"/>
        </w:rPr>
        <w:t xml:space="preserve"> </w:t>
      </w:r>
      <w:r w:rsidRPr="00174475">
        <w:rPr>
          <w:rFonts w:cs="Times New Roman"/>
        </w:rPr>
        <w:t>Nur das Berufen auf einen bis zum Ablauf der Kündig</w:t>
      </w:r>
      <w:r>
        <w:rPr>
          <w:rFonts w:cs="Times New Roman"/>
        </w:rPr>
        <w:t>ungsfrist entfallenden Bedarfsg</w:t>
      </w:r>
      <w:r w:rsidRPr="00174475">
        <w:rPr>
          <w:rFonts w:cs="Times New Roman"/>
        </w:rPr>
        <w:t>rund ist der rechts missbräuchlich</w:t>
      </w:r>
      <w:r>
        <w:rPr>
          <w:rFonts w:cs="Times New Roman"/>
        </w:rPr>
        <w:t>.</w:t>
      </w:r>
    </w:p>
    <w:p w:rsidR="00174475" w:rsidRDefault="00174475" w:rsidP="001E1FDB">
      <w:pPr>
        <w:pStyle w:val="KeinLeerraum"/>
        <w:jc w:val="both"/>
        <w:rPr>
          <w:rFonts w:cs="Times New Roman"/>
        </w:rPr>
      </w:pPr>
    </w:p>
    <w:p w:rsidR="00174475" w:rsidRDefault="00174475" w:rsidP="001E1FDB">
      <w:pPr>
        <w:pStyle w:val="KeinLeerraum"/>
        <w:jc w:val="both"/>
        <w:rPr>
          <w:rFonts w:cs="Times New Roman"/>
        </w:rPr>
      </w:pPr>
      <w:r w:rsidRPr="00174475">
        <w:rPr>
          <w:rFonts w:cs="Times New Roman"/>
        </w:rPr>
        <w:t xml:space="preserve">Das </w:t>
      </w:r>
      <w:r w:rsidRPr="00174475">
        <w:rPr>
          <w:rFonts w:cs="Times New Roman"/>
          <w:b/>
        </w:rPr>
        <w:t>Landgericht München I</w:t>
      </w:r>
      <w:r w:rsidRPr="00174475">
        <w:rPr>
          <w:rFonts w:cs="Times New Roman"/>
        </w:rPr>
        <w:t xml:space="preserve"> hat sich mit Urteil vom 17.04.2019 mit der Uml</w:t>
      </w:r>
      <w:r>
        <w:rPr>
          <w:rFonts w:cs="Times New Roman"/>
        </w:rPr>
        <w:t>agefähigkeit von Kosten eines Wa</w:t>
      </w:r>
      <w:r w:rsidRPr="00174475">
        <w:rPr>
          <w:rFonts w:cs="Times New Roman"/>
        </w:rPr>
        <w:t>ch-</w:t>
      </w:r>
      <w:r>
        <w:rPr>
          <w:rFonts w:cs="Times New Roman"/>
        </w:rPr>
        <w:t xml:space="preserve"> </w:t>
      </w:r>
      <w:r w:rsidRPr="00174475">
        <w:rPr>
          <w:rFonts w:cs="Times New Roman"/>
        </w:rPr>
        <w:t xml:space="preserve">und Sicherheitsdienstes beschäftigt. Soll der Bewachungsdienst in weit überwiegendem Maße Park- und Gartenflächen schützen, die innerhalb eines Quartiers für die Öffentlichkeit zugänglich </w:t>
      </w:r>
      <w:r w:rsidRPr="00174475">
        <w:rPr>
          <w:rFonts w:cs="Times New Roman"/>
        </w:rPr>
        <w:t xml:space="preserve">sind und vom Mieter wie </w:t>
      </w:r>
      <w:r>
        <w:rPr>
          <w:rFonts w:cs="Times New Roman"/>
        </w:rPr>
        <w:t>Dritten</w:t>
      </w:r>
      <w:r w:rsidRPr="00174475">
        <w:rPr>
          <w:rFonts w:cs="Times New Roman"/>
        </w:rPr>
        <w:t xml:space="preserve"> in gleichem Maße genutzt werden, so fehlt es am Merkmal des bestimmungsgemäßen Gebrauchs der Mietsache. Solche Kosten können dann auch nicht anteilig auf den Mieter umgelegt werden (betroffen war die Wohnanlage in den </w:t>
      </w:r>
      <w:r>
        <w:rPr>
          <w:rFonts w:cs="Times New Roman"/>
        </w:rPr>
        <w:t>Lenbachg</w:t>
      </w:r>
      <w:r w:rsidRPr="00174475">
        <w:rPr>
          <w:rFonts w:cs="Times New Roman"/>
        </w:rPr>
        <w:t>ärten in München)</w:t>
      </w:r>
      <w:r>
        <w:rPr>
          <w:rFonts w:cs="Times New Roman"/>
        </w:rPr>
        <w:t xml:space="preserve">. </w:t>
      </w:r>
      <w:r w:rsidRPr="00174475">
        <w:rPr>
          <w:rFonts w:cs="Times New Roman"/>
        </w:rPr>
        <w:t>Eine Widmung zugunsten der Öffentlichkeit liegt nach der Auffassung des BGH</w:t>
      </w:r>
      <w:r>
        <w:rPr>
          <w:rFonts w:cs="Times New Roman"/>
        </w:rPr>
        <w:t xml:space="preserve">, auf den </w:t>
      </w:r>
      <w:r w:rsidRPr="00174475">
        <w:rPr>
          <w:rFonts w:cs="Times New Roman"/>
        </w:rPr>
        <w:t xml:space="preserve">en sich das Landgericht München </w:t>
      </w:r>
      <w:r>
        <w:rPr>
          <w:rFonts w:cs="Times New Roman"/>
        </w:rPr>
        <w:t>I</w:t>
      </w:r>
      <w:r w:rsidRPr="00174475">
        <w:rPr>
          <w:rFonts w:cs="Times New Roman"/>
        </w:rPr>
        <w:t xml:space="preserve"> bezieht, vor, wenn jedermann die Nutzung dieser Flächen unabhängig davon gestattet ist, ob er eine Wohnung in der Wohnanlage angemietet hat oder nicht.</w:t>
      </w:r>
    </w:p>
    <w:p w:rsidR="00174475" w:rsidRDefault="00174475" w:rsidP="001E1FDB">
      <w:pPr>
        <w:pStyle w:val="KeinLeerraum"/>
        <w:jc w:val="both"/>
        <w:rPr>
          <w:rFonts w:cs="Times New Roman"/>
        </w:rPr>
      </w:pPr>
    </w:p>
    <w:p w:rsidR="00174475" w:rsidRDefault="00174475" w:rsidP="001E1FDB">
      <w:pPr>
        <w:pStyle w:val="KeinLeerraum"/>
        <w:jc w:val="both"/>
        <w:rPr>
          <w:rFonts w:cs="Times New Roman"/>
        </w:rPr>
      </w:pPr>
      <w:r w:rsidRPr="00174475">
        <w:rPr>
          <w:rFonts w:cs="Times New Roman"/>
        </w:rPr>
        <w:t xml:space="preserve">Das </w:t>
      </w:r>
      <w:r w:rsidRPr="00174475">
        <w:rPr>
          <w:rFonts w:cs="Times New Roman"/>
          <w:b/>
        </w:rPr>
        <w:t>Landgericht Berlin</w:t>
      </w:r>
      <w:r w:rsidRPr="00174475">
        <w:rPr>
          <w:rFonts w:cs="Times New Roman"/>
        </w:rPr>
        <w:t xml:space="preserve"> hat mit Urteil vom 08.01.2019 entschieden, dass von Kindern ausgehende Lärm in einer Altbauwohnung nur dann ein Mietmangel ist, wenn das sozial adäquaten Maß überschritten wird. Gelegentliche intensive Geräuschbeeinträchtigungen (Rennen und Springen, sodass die Gläser in den Schranken </w:t>
      </w:r>
      <w:r w:rsidR="006B28C0">
        <w:rPr>
          <w:rFonts w:cs="Times New Roman"/>
        </w:rPr>
        <w:t>klirren</w:t>
      </w:r>
      <w:r w:rsidRPr="00174475">
        <w:rPr>
          <w:rFonts w:cs="Times New Roman"/>
        </w:rPr>
        <w:t>) reicht dafür aber nicht.</w:t>
      </w:r>
      <w:r w:rsidR="006B28C0">
        <w:rPr>
          <w:rFonts w:cs="Times New Roman"/>
        </w:rPr>
        <w:t xml:space="preserve"> </w:t>
      </w:r>
      <w:bookmarkStart w:id="0" w:name="_GoBack"/>
      <w:bookmarkEnd w:id="0"/>
    </w:p>
    <w:p w:rsidR="007C427B" w:rsidRDefault="00406D4F" w:rsidP="007C427B">
      <w:pPr>
        <w:pStyle w:val="KeinLeerraum"/>
        <w:jc w:val="both"/>
        <w:rPr>
          <w:rFonts w:cs="Times New Roman"/>
        </w:rPr>
      </w:pPr>
      <w:r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-25476</wp:posOffset>
                </wp:positionH>
                <wp:positionV relativeFrom="paragraph">
                  <wp:posOffset>173279</wp:posOffset>
                </wp:positionV>
                <wp:extent cx="2660650" cy="2340864"/>
                <wp:effectExtent l="0" t="0" r="25400"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340864"/>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2pt;margin-top:13.65pt;width:209.5pt;height:18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n/JwIAAEwEAAAOAAAAZHJzL2Uyb0RvYy54bWysVNuO2yAQfa/Uf0C8N3bcJM1acVbbbFNV&#10;2l6k3X4ABhyjAuMCiZ1+/Q44m01vL1X9gBhmOJw5M+PV9WA0OUjnFdiKTic5JdJyEMruKvr1Yftq&#10;SYkPzAqmwcqKHqWn1+uXL1Z9V8oCWtBCOoIg1pd9V9E2hK7MMs9baZifQCctOhtwhgU03S4TjvWI&#10;bnRW5Pki68GJzgGX3uPp7eik64TfNJKHz03jZSC6osgtpNWltY5rtl6xcudY1yp+osH+gYVhyuKj&#10;Z6hbFhjZO/UblFHcgYcmTDiYDJpGcZlywGym+S/Z3LeskykXFMd3Z5n8/4Plnw5fHFGiogUllhks&#10;0YMcQiO1IEVUp+98iUH3HYaF4S0MWOWUqe/ugH/zxMKmZXYnb5yDvpVMILtpvJldXB1xfASp+48g&#10;8Bm2D5CAhsaZKB2KQRAdq3Q8VwapEI6HxWKRL+bo4ugrXs/y5WKW3mDl0/XO+fBegiFxU1GHpU/w&#10;7HDnQ6TDyqeQ+JoHrcRWaZ0Mt6s32pEDwzbZpu+E/lOYtqSv6NW8mI8K/BUiT9+fIIwK2O9amYou&#10;z0GsjLq9syJ1Y2BKj3ukrO1JyKjdqGIY6iFVLKkcRa5BHFFZB2N74zjipgX3g5IeW7ui/vueOUmJ&#10;/mCxOlfT2SzOQjJm8zcFGu7SU196mOUIVdFAybjdhDQ/UTcLN1jFRiV9n5mcKGPLJtlP4xVn4tJO&#10;Uc8/gfUjAAAA//8DAFBLAwQUAAYACAAAACEAjSdM5OEAAAAJAQAADwAAAGRycy9kb3ducmV2Lnht&#10;bEyPS0/DMBCE70j8B2uRuKDWaZM+ErKpEBKI3qCt4OrG2yTCj2C7afj3mBMcZ2c18025GbViAznf&#10;WYMwmybAyNRWdqZBOOyfJmtgPggjhbKGEL7Jw6a6vipFIe3FvNGwCw2LIcYXAqENoS8493VLWvip&#10;7clE72SdFiFK13DpxCWGa8XnSbLkWnQmNrSip8eW6s/dWSOss5fhw2/T1/d6eVJ5uFsNz18O8fZm&#10;fLgHFmgMf8/wix/RoYpMR3s20jOFMMnilIAwX6XAop/NFvFwREjzRQ68Kvn/BdUPAAAA//8DAFBL&#10;AQItABQABgAIAAAAIQC2gziS/gAAAOEBAAATAAAAAAAAAAAAAAAAAAAAAABbQ29udGVudF9UeXBl&#10;c10ueG1sUEsBAi0AFAAGAAgAAAAhADj9If/WAAAAlAEAAAsAAAAAAAAAAAAAAAAALwEAAF9yZWxz&#10;Ly5yZWxzUEsBAi0AFAAGAAgAAAAhAB17Cf8nAgAATAQAAA4AAAAAAAAAAAAAAAAALgIAAGRycy9l&#10;Mm9Eb2MueG1sUEsBAi0AFAAGAAgAAAAhAI0nTOThAAAACQEAAA8AAAAAAAAAAAAAAAAAgQQAAGRy&#10;cy9kb3ducmV2LnhtbFBLBQYAAAAABAAEAPMAAACPBQ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7C427B" w:rsidRDefault="007C427B" w:rsidP="007C427B">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p w:rsidR="00817E91" w:rsidRPr="001E5344" w:rsidRDefault="00817E91" w:rsidP="00F16BD1">
      <w:pPr>
        <w:pStyle w:val="KeinLeerraum"/>
        <w:jc w:val="both"/>
        <w:rPr>
          <w:rFonts w:cs="Times New Roman"/>
        </w:rPr>
      </w:pPr>
    </w:p>
    <w:sectPr w:rsidR="00817E91" w:rsidRP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41914"/>
    <w:rsid w:val="000460E5"/>
    <w:rsid w:val="00051F36"/>
    <w:rsid w:val="00052640"/>
    <w:rsid w:val="0005639D"/>
    <w:rsid w:val="0005726D"/>
    <w:rsid w:val="0006423F"/>
    <w:rsid w:val="0006635C"/>
    <w:rsid w:val="000669C3"/>
    <w:rsid w:val="00077791"/>
    <w:rsid w:val="000874D5"/>
    <w:rsid w:val="00093902"/>
    <w:rsid w:val="000A022A"/>
    <w:rsid w:val="000A7DE0"/>
    <w:rsid w:val="000B22A0"/>
    <w:rsid w:val="000B46AE"/>
    <w:rsid w:val="000B50DC"/>
    <w:rsid w:val="000C477F"/>
    <w:rsid w:val="000C6C0A"/>
    <w:rsid w:val="000E1FE5"/>
    <w:rsid w:val="000E41B8"/>
    <w:rsid w:val="000E5115"/>
    <w:rsid w:val="000F1727"/>
    <w:rsid w:val="00100EB4"/>
    <w:rsid w:val="00101E98"/>
    <w:rsid w:val="00107AE4"/>
    <w:rsid w:val="00111066"/>
    <w:rsid w:val="0011246D"/>
    <w:rsid w:val="00112CFD"/>
    <w:rsid w:val="00124835"/>
    <w:rsid w:val="00134C7F"/>
    <w:rsid w:val="001375AE"/>
    <w:rsid w:val="00141F2D"/>
    <w:rsid w:val="00174475"/>
    <w:rsid w:val="001745A0"/>
    <w:rsid w:val="00175CBB"/>
    <w:rsid w:val="001815DE"/>
    <w:rsid w:val="001A57EF"/>
    <w:rsid w:val="001A7722"/>
    <w:rsid w:val="001B2F23"/>
    <w:rsid w:val="001B6576"/>
    <w:rsid w:val="001C1780"/>
    <w:rsid w:val="001E1622"/>
    <w:rsid w:val="001E1FDB"/>
    <w:rsid w:val="001E4E3A"/>
    <w:rsid w:val="001E5344"/>
    <w:rsid w:val="001E5925"/>
    <w:rsid w:val="001F5A84"/>
    <w:rsid w:val="002004DE"/>
    <w:rsid w:val="00201A3E"/>
    <w:rsid w:val="002134DA"/>
    <w:rsid w:val="00214473"/>
    <w:rsid w:val="002205F8"/>
    <w:rsid w:val="0022136B"/>
    <w:rsid w:val="0022361D"/>
    <w:rsid w:val="00230551"/>
    <w:rsid w:val="00232F4F"/>
    <w:rsid w:val="002370DE"/>
    <w:rsid w:val="00256516"/>
    <w:rsid w:val="00264863"/>
    <w:rsid w:val="00265A05"/>
    <w:rsid w:val="00271141"/>
    <w:rsid w:val="00294681"/>
    <w:rsid w:val="002A1EF2"/>
    <w:rsid w:val="002A7469"/>
    <w:rsid w:val="002A7A9D"/>
    <w:rsid w:val="002B4C94"/>
    <w:rsid w:val="002C4D08"/>
    <w:rsid w:val="002E0B91"/>
    <w:rsid w:val="003001E5"/>
    <w:rsid w:val="00301F0E"/>
    <w:rsid w:val="0030310E"/>
    <w:rsid w:val="003076C1"/>
    <w:rsid w:val="00310591"/>
    <w:rsid w:val="00311678"/>
    <w:rsid w:val="003137BB"/>
    <w:rsid w:val="00314880"/>
    <w:rsid w:val="0032057B"/>
    <w:rsid w:val="0032308D"/>
    <w:rsid w:val="00324729"/>
    <w:rsid w:val="003278EC"/>
    <w:rsid w:val="00327D32"/>
    <w:rsid w:val="00333BA2"/>
    <w:rsid w:val="00336775"/>
    <w:rsid w:val="0034564B"/>
    <w:rsid w:val="003522CD"/>
    <w:rsid w:val="0035647B"/>
    <w:rsid w:val="00360D25"/>
    <w:rsid w:val="00376F02"/>
    <w:rsid w:val="003805D4"/>
    <w:rsid w:val="00385F93"/>
    <w:rsid w:val="00386426"/>
    <w:rsid w:val="00391243"/>
    <w:rsid w:val="003A3D51"/>
    <w:rsid w:val="003A4136"/>
    <w:rsid w:val="003A66B3"/>
    <w:rsid w:val="003B252E"/>
    <w:rsid w:val="003B2E5F"/>
    <w:rsid w:val="003B4443"/>
    <w:rsid w:val="003B5986"/>
    <w:rsid w:val="003D006E"/>
    <w:rsid w:val="003D22CC"/>
    <w:rsid w:val="003D7858"/>
    <w:rsid w:val="003E1559"/>
    <w:rsid w:val="003E59C5"/>
    <w:rsid w:val="003F171B"/>
    <w:rsid w:val="003F79AF"/>
    <w:rsid w:val="004048FD"/>
    <w:rsid w:val="00406D4F"/>
    <w:rsid w:val="0041131A"/>
    <w:rsid w:val="00421B19"/>
    <w:rsid w:val="00452DD5"/>
    <w:rsid w:val="00456F6B"/>
    <w:rsid w:val="00457C17"/>
    <w:rsid w:val="00463FF8"/>
    <w:rsid w:val="004643D5"/>
    <w:rsid w:val="00466682"/>
    <w:rsid w:val="00471137"/>
    <w:rsid w:val="00475064"/>
    <w:rsid w:val="00475C68"/>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226BB"/>
    <w:rsid w:val="00523B4D"/>
    <w:rsid w:val="0054066F"/>
    <w:rsid w:val="00542A18"/>
    <w:rsid w:val="00545294"/>
    <w:rsid w:val="00551ADB"/>
    <w:rsid w:val="00552B5C"/>
    <w:rsid w:val="00566C7E"/>
    <w:rsid w:val="005671A6"/>
    <w:rsid w:val="00570F3B"/>
    <w:rsid w:val="00573F33"/>
    <w:rsid w:val="005754BD"/>
    <w:rsid w:val="005779EB"/>
    <w:rsid w:val="00577F14"/>
    <w:rsid w:val="0058003F"/>
    <w:rsid w:val="0058014E"/>
    <w:rsid w:val="00582153"/>
    <w:rsid w:val="005927E9"/>
    <w:rsid w:val="0059626E"/>
    <w:rsid w:val="005B4907"/>
    <w:rsid w:val="005B71F4"/>
    <w:rsid w:val="005C31E1"/>
    <w:rsid w:val="005C553D"/>
    <w:rsid w:val="005D13B1"/>
    <w:rsid w:val="005E1A6E"/>
    <w:rsid w:val="005E1A86"/>
    <w:rsid w:val="00605856"/>
    <w:rsid w:val="006106D6"/>
    <w:rsid w:val="006209B9"/>
    <w:rsid w:val="006361D2"/>
    <w:rsid w:val="00657ECD"/>
    <w:rsid w:val="00680628"/>
    <w:rsid w:val="00687B22"/>
    <w:rsid w:val="0069034D"/>
    <w:rsid w:val="006925CB"/>
    <w:rsid w:val="006B28C0"/>
    <w:rsid w:val="006B6F81"/>
    <w:rsid w:val="006C63AC"/>
    <w:rsid w:val="006C7730"/>
    <w:rsid w:val="006D5A1E"/>
    <w:rsid w:val="006E7255"/>
    <w:rsid w:val="006E7EE6"/>
    <w:rsid w:val="007304B9"/>
    <w:rsid w:val="0073400C"/>
    <w:rsid w:val="0075664B"/>
    <w:rsid w:val="00761A87"/>
    <w:rsid w:val="00763C22"/>
    <w:rsid w:val="0076545E"/>
    <w:rsid w:val="00766E60"/>
    <w:rsid w:val="00770CD4"/>
    <w:rsid w:val="00773E7C"/>
    <w:rsid w:val="00776757"/>
    <w:rsid w:val="00776EB2"/>
    <w:rsid w:val="00777989"/>
    <w:rsid w:val="0078104E"/>
    <w:rsid w:val="007858A6"/>
    <w:rsid w:val="00792404"/>
    <w:rsid w:val="007961AB"/>
    <w:rsid w:val="007A21D0"/>
    <w:rsid w:val="007B1699"/>
    <w:rsid w:val="007B4EB6"/>
    <w:rsid w:val="007C427B"/>
    <w:rsid w:val="007D2F4F"/>
    <w:rsid w:val="007D3142"/>
    <w:rsid w:val="007D431F"/>
    <w:rsid w:val="007E1245"/>
    <w:rsid w:val="007E2B24"/>
    <w:rsid w:val="007E4EC5"/>
    <w:rsid w:val="007E53D0"/>
    <w:rsid w:val="007E5DE4"/>
    <w:rsid w:val="007E7331"/>
    <w:rsid w:val="007F1514"/>
    <w:rsid w:val="007F1946"/>
    <w:rsid w:val="007F20B5"/>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A1505"/>
    <w:rsid w:val="008A25EE"/>
    <w:rsid w:val="008D3683"/>
    <w:rsid w:val="008D4863"/>
    <w:rsid w:val="008D7AD3"/>
    <w:rsid w:val="008E1688"/>
    <w:rsid w:val="008F6FB7"/>
    <w:rsid w:val="00901C06"/>
    <w:rsid w:val="00907E5D"/>
    <w:rsid w:val="009209B4"/>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23B8"/>
    <w:rsid w:val="009B62EF"/>
    <w:rsid w:val="009C1151"/>
    <w:rsid w:val="009C21B2"/>
    <w:rsid w:val="009C59AB"/>
    <w:rsid w:val="009D717F"/>
    <w:rsid w:val="009E27FB"/>
    <w:rsid w:val="009E3F68"/>
    <w:rsid w:val="00A01125"/>
    <w:rsid w:val="00A233C0"/>
    <w:rsid w:val="00A2440B"/>
    <w:rsid w:val="00A266BF"/>
    <w:rsid w:val="00A4659F"/>
    <w:rsid w:val="00A563F1"/>
    <w:rsid w:val="00A66F4F"/>
    <w:rsid w:val="00A70069"/>
    <w:rsid w:val="00A81434"/>
    <w:rsid w:val="00AA3329"/>
    <w:rsid w:val="00AB23E5"/>
    <w:rsid w:val="00AC56AF"/>
    <w:rsid w:val="00AD00D9"/>
    <w:rsid w:val="00AD4FAB"/>
    <w:rsid w:val="00AF57D7"/>
    <w:rsid w:val="00AF6168"/>
    <w:rsid w:val="00AF6CAB"/>
    <w:rsid w:val="00B023C7"/>
    <w:rsid w:val="00B0503C"/>
    <w:rsid w:val="00B053D4"/>
    <w:rsid w:val="00B13894"/>
    <w:rsid w:val="00B203F4"/>
    <w:rsid w:val="00B24EB7"/>
    <w:rsid w:val="00B30D91"/>
    <w:rsid w:val="00B3690C"/>
    <w:rsid w:val="00B36A2F"/>
    <w:rsid w:val="00B40FB0"/>
    <w:rsid w:val="00B41385"/>
    <w:rsid w:val="00B42ABB"/>
    <w:rsid w:val="00B43FC1"/>
    <w:rsid w:val="00B451E9"/>
    <w:rsid w:val="00B500FC"/>
    <w:rsid w:val="00B62C37"/>
    <w:rsid w:val="00B673DC"/>
    <w:rsid w:val="00B7792E"/>
    <w:rsid w:val="00B80D2C"/>
    <w:rsid w:val="00B86A3D"/>
    <w:rsid w:val="00B91F93"/>
    <w:rsid w:val="00B9411E"/>
    <w:rsid w:val="00B94803"/>
    <w:rsid w:val="00B97642"/>
    <w:rsid w:val="00BB67EB"/>
    <w:rsid w:val="00BD550B"/>
    <w:rsid w:val="00BE1AB1"/>
    <w:rsid w:val="00BE6120"/>
    <w:rsid w:val="00BE7524"/>
    <w:rsid w:val="00BF43FA"/>
    <w:rsid w:val="00C00761"/>
    <w:rsid w:val="00C00B2E"/>
    <w:rsid w:val="00C02FCF"/>
    <w:rsid w:val="00C03ED6"/>
    <w:rsid w:val="00C13097"/>
    <w:rsid w:val="00C162CD"/>
    <w:rsid w:val="00C251B4"/>
    <w:rsid w:val="00C25EE4"/>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7AB"/>
    <w:rsid w:val="00C81F09"/>
    <w:rsid w:val="00C85917"/>
    <w:rsid w:val="00C86916"/>
    <w:rsid w:val="00C91916"/>
    <w:rsid w:val="00C9255B"/>
    <w:rsid w:val="00C97136"/>
    <w:rsid w:val="00CC3018"/>
    <w:rsid w:val="00CD0574"/>
    <w:rsid w:val="00CD42C9"/>
    <w:rsid w:val="00CD782B"/>
    <w:rsid w:val="00CE262C"/>
    <w:rsid w:val="00D04FE6"/>
    <w:rsid w:val="00D30BBD"/>
    <w:rsid w:val="00D30D81"/>
    <w:rsid w:val="00D3799D"/>
    <w:rsid w:val="00D40A7E"/>
    <w:rsid w:val="00D40B3C"/>
    <w:rsid w:val="00D478B2"/>
    <w:rsid w:val="00D60B51"/>
    <w:rsid w:val="00D7215A"/>
    <w:rsid w:val="00D7229F"/>
    <w:rsid w:val="00D735C6"/>
    <w:rsid w:val="00D84249"/>
    <w:rsid w:val="00D85E19"/>
    <w:rsid w:val="00D92A77"/>
    <w:rsid w:val="00DB40BA"/>
    <w:rsid w:val="00DC281D"/>
    <w:rsid w:val="00DD138F"/>
    <w:rsid w:val="00DD28CA"/>
    <w:rsid w:val="00DD404C"/>
    <w:rsid w:val="00DE0FD1"/>
    <w:rsid w:val="00DE4F90"/>
    <w:rsid w:val="00DF083C"/>
    <w:rsid w:val="00E02823"/>
    <w:rsid w:val="00E13739"/>
    <w:rsid w:val="00E147D7"/>
    <w:rsid w:val="00E1738B"/>
    <w:rsid w:val="00E30406"/>
    <w:rsid w:val="00E32087"/>
    <w:rsid w:val="00E34B62"/>
    <w:rsid w:val="00E4770E"/>
    <w:rsid w:val="00E54C87"/>
    <w:rsid w:val="00E60FAD"/>
    <w:rsid w:val="00E71BCE"/>
    <w:rsid w:val="00E76E26"/>
    <w:rsid w:val="00E77BB9"/>
    <w:rsid w:val="00E80B6B"/>
    <w:rsid w:val="00E87209"/>
    <w:rsid w:val="00E9186B"/>
    <w:rsid w:val="00EA163E"/>
    <w:rsid w:val="00EB704E"/>
    <w:rsid w:val="00EC07D9"/>
    <w:rsid w:val="00EC6CAD"/>
    <w:rsid w:val="00ED0750"/>
    <w:rsid w:val="00ED1241"/>
    <w:rsid w:val="00EE3699"/>
    <w:rsid w:val="00EF5CA5"/>
    <w:rsid w:val="00EF65E1"/>
    <w:rsid w:val="00EF7F3A"/>
    <w:rsid w:val="00F03078"/>
    <w:rsid w:val="00F04D44"/>
    <w:rsid w:val="00F074B5"/>
    <w:rsid w:val="00F123E9"/>
    <w:rsid w:val="00F16BD1"/>
    <w:rsid w:val="00F2170D"/>
    <w:rsid w:val="00F31344"/>
    <w:rsid w:val="00F55819"/>
    <w:rsid w:val="00F60512"/>
    <w:rsid w:val="00F61F47"/>
    <w:rsid w:val="00F64EFD"/>
    <w:rsid w:val="00F65ADF"/>
    <w:rsid w:val="00F83B09"/>
    <w:rsid w:val="00F85A4C"/>
    <w:rsid w:val="00F913D9"/>
    <w:rsid w:val="00F950E3"/>
    <w:rsid w:val="00F95FDC"/>
    <w:rsid w:val="00FB5FDB"/>
    <w:rsid w:val="00FB7E93"/>
    <w:rsid w:val="00FC6C4E"/>
    <w:rsid w:val="00FD5133"/>
    <w:rsid w:val="00FD6989"/>
    <w:rsid w:val="00FE0107"/>
    <w:rsid w:val="00FE23BF"/>
    <w:rsid w:val="00FF2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A25F"/>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95149ec1-9179-4e25-a769-e40cd3da5ad6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CDBC-1007-4CE5-9D87-4468C33DD9E5}">
  <ds:schemaRefs>
    <ds:schemaRef ds:uri="http://www.datev.de/BSOffice/999929"/>
  </ds:schemaRefs>
</ds:datastoreItem>
</file>

<file path=customXml/itemProps2.xml><?xml version="1.0" encoding="utf-8"?>
<ds:datastoreItem xmlns:ds="http://schemas.openxmlformats.org/officeDocument/2006/customXml" ds:itemID="{1E8E6D02-5507-4DBC-8630-D4AE66C4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10</cp:revision>
  <cp:lastPrinted>2019-01-17T09:30:00Z</cp:lastPrinted>
  <dcterms:created xsi:type="dcterms:W3CDTF">2019-07-02T06:50:00Z</dcterms:created>
  <dcterms:modified xsi:type="dcterms:W3CDTF">2019-08-19T08:11:00Z</dcterms:modified>
</cp:coreProperties>
</file>