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9266F">
                              <w:rPr>
                                <w:b/>
                                <w:sz w:val="28"/>
                              </w:rPr>
                              <w:t>September</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9266F">
                        <w:rPr>
                          <w:b/>
                          <w:sz w:val="28"/>
                        </w:rPr>
                        <w:t>September</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89266F" w:rsidRDefault="00777989" w:rsidP="009A5D8D">
      <w:pPr>
        <w:pStyle w:val="KeinLeerraum"/>
        <w:rPr>
          <w:rFonts w:cs="Times New Roman"/>
        </w:rPr>
      </w:pPr>
      <w:r w:rsidRPr="00777989">
        <w:rPr>
          <w:rFonts w:cs="Times New Roman"/>
        </w:rPr>
        <w:t xml:space="preserve">Das </w:t>
      </w:r>
      <w:r w:rsidRPr="00777989">
        <w:rPr>
          <w:rFonts w:cs="Times New Roman"/>
          <w:b/>
        </w:rPr>
        <w:t>Kammergericht Berlin</w:t>
      </w:r>
      <w:r w:rsidRPr="00777989">
        <w:rPr>
          <w:rFonts w:cs="Times New Roman"/>
        </w:rPr>
        <w:t xml:space="preserve"> hat mit Beschluss vom 14.11.2017 folgendes entschieden: Setzt die Ehefrau das vom Ehemann begründete Mietverhältnis bei Trennung/Scheidung in dessen und des Vermieters Einvernehmen fort, kann der Ehemann, solange das Mietverhältnis fortdauert und keine abweichende Parteive</w:t>
      </w:r>
      <w:r w:rsidRPr="00777989">
        <w:rPr>
          <w:rFonts w:cs="Times New Roman"/>
        </w:rPr>
        <w:t>r</w:t>
      </w:r>
      <w:r w:rsidRPr="00777989">
        <w:rPr>
          <w:rFonts w:cs="Times New Roman"/>
        </w:rPr>
        <w:t xml:space="preserve">einbarung erzielt wird, keinen Ausgleich dafür verlangen, dass die Ehefrau die von ihm allein an den Vermieter geleisteten Kaution zugute kommt. </w:t>
      </w:r>
    </w:p>
    <w:p w:rsidR="00777989" w:rsidRDefault="00777989" w:rsidP="009A5D8D">
      <w:pPr>
        <w:pStyle w:val="KeinLeerraum"/>
        <w:rPr>
          <w:rFonts w:cs="Times New Roman"/>
        </w:rPr>
      </w:pPr>
    </w:p>
    <w:p w:rsidR="00777989" w:rsidRDefault="00777989" w:rsidP="009A5D8D">
      <w:pPr>
        <w:pStyle w:val="KeinLeerraum"/>
        <w:rPr>
          <w:rFonts w:cs="Times New Roman"/>
        </w:rPr>
      </w:pPr>
      <w:r w:rsidRPr="00777989">
        <w:rPr>
          <w:rFonts w:cs="Times New Roman"/>
        </w:rPr>
        <w:t xml:space="preserve">Das </w:t>
      </w:r>
      <w:r w:rsidRPr="00777989">
        <w:rPr>
          <w:rFonts w:cs="Times New Roman"/>
          <w:b/>
        </w:rPr>
        <w:t>OLG Frankfurt</w:t>
      </w:r>
      <w:r w:rsidRPr="00777989">
        <w:rPr>
          <w:rFonts w:cs="Times New Roman"/>
        </w:rPr>
        <w:t xml:space="preserve"> hat mit Urteil vom 12.04.2018 entschieden, dass ein Kieferorth</w:t>
      </w:r>
      <w:r w:rsidRPr="00777989">
        <w:rPr>
          <w:rFonts w:cs="Times New Roman"/>
        </w:rPr>
        <w:t>o</w:t>
      </w:r>
      <w:r w:rsidRPr="00777989">
        <w:rPr>
          <w:rFonts w:cs="Times New Roman"/>
        </w:rPr>
        <w:t>päde zwanglos dem Begriff "Zahnarzt" unte</w:t>
      </w:r>
      <w:r w:rsidRPr="00777989">
        <w:rPr>
          <w:rFonts w:cs="Times New Roman"/>
        </w:rPr>
        <w:t>r</w:t>
      </w:r>
      <w:r w:rsidRPr="00777989">
        <w:rPr>
          <w:rFonts w:cs="Times New Roman"/>
        </w:rPr>
        <w:t>fällt. Dass eine mietvertragliche Konkurren</w:t>
      </w:r>
      <w:r w:rsidRPr="00777989">
        <w:rPr>
          <w:rFonts w:cs="Times New Roman"/>
        </w:rPr>
        <w:t>z</w:t>
      </w:r>
      <w:r w:rsidRPr="00777989">
        <w:rPr>
          <w:rFonts w:cs="Times New Roman"/>
        </w:rPr>
        <w:t>schutzklausel zusätzlich zu einem weiteren Zahnarzt einen "Kieferchirurgen" aufzählt, vor dem der Vermieter Konkurrenzschutz zu g</w:t>
      </w:r>
      <w:r w:rsidRPr="00777989">
        <w:rPr>
          <w:rFonts w:cs="Times New Roman"/>
        </w:rPr>
        <w:t>e</w:t>
      </w:r>
      <w:r w:rsidRPr="00777989">
        <w:rPr>
          <w:rFonts w:cs="Times New Roman"/>
        </w:rPr>
        <w:t xml:space="preserve">währen hat, ändert an diesem Ergebnis nichts. </w:t>
      </w:r>
    </w:p>
    <w:p w:rsidR="0089266F" w:rsidRDefault="0089266F" w:rsidP="009A5D8D">
      <w:pPr>
        <w:pStyle w:val="KeinLeerraum"/>
        <w:rPr>
          <w:rFonts w:cs="Times New Roman"/>
        </w:rPr>
      </w:pPr>
    </w:p>
    <w:p w:rsidR="0089266F" w:rsidRDefault="00391243" w:rsidP="009A5D8D">
      <w:pPr>
        <w:pStyle w:val="KeinLeerraum"/>
        <w:rPr>
          <w:rFonts w:cs="Times New Roman"/>
        </w:rPr>
      </w:pPr>
      <w:r w:rsidRPr="00391243">
        <w:rPr>
          <w:rFonts w:cs="Times New Roman"/>
        </w:rPr>
        <w:t xml:space="preserve">Der </w:t>
      </w:r>
      <w:r w:rsidRPr="00391243">
        <w:rPr>
          <w:rFonts w:cs="Times New Roman"/>
          <w:b/>
        </w:rPr>
        <w:t>BGH</w:t>
      </w:r>
      <w:r w:rsidRPr="00391243">
        <w:rPr>
          <w:rFonts w:cs="Times New Roman"/>
        </w:rPr>
        <w:t xml:space="preserve"> hat mit Urteil vom 08.06.2018 zur Haftung für Durchführung von WEG- B</w:t>
      </w:r>
      <w:r w:rsidRPr="00391243">
        <w:rPr>
          <w:rFonts w:cs="Times New Roman"/>
        </w:rPr>
        <w:t>e</w:t>
      </w:r>
      <w:r w:rsidRPr="00391243">
        <w:rPr>
          <w:rFonts w:cs="Times New Roman"/>
        </w:rPr>
        <w:t xml:space="preserve">schlüssen Stellung genommen. Die </w:t>
      </w:r>
      <w:r>
        <w:rPr>
          <w:rFonts w:cs="Times New Roman"/>
        </w:rPr>
        <w:t>Pflicht</w:t>
      </w:r>
      <w:r w:rsidRPr="00391243">
        <w:rPr>
          <w:rFonts w:cs="Times New Roman"/>
        </w:rPr>
        <w:t xml:space="preserve"> zur Durchführung von Beschlüssen der Wo</w:t>
      </w:r>
      <w:r w:rsidRPr="00391243">
        <w:rPr>
          <w:rFonts w:cs="Times New Roman"/>
        </w:rPr>
        <w:t>h</w:t>
      </w:r>
      <w:r w:rsidRPr="00391243">
        <w:rPr>
          <w:rFonts w:cs="Times New Roman"/>
        </w:rPr>
        <w:t>nungseigentümer trifft den Verwalter und nicht die Wohnungseigentümergemeinschaft. Daher begründen Pflichtverletzungen des Verwalters, die sich auf die Durchführung von Beschlüssen beziehen, keine Schadensersatzansprüche ei</w:t>
      </w:r>
      <w:r w:rsidRPr="00391243">
        <w:rPr>
          <w:rFonts w:cs="Times New Roman"/>
        </w:rPr>
        <w:t>n</w:t>
      </w:r>
      <w:r w:rsidRPr="00391243">
        <w:rPr>
          <w:rFonts w:cs="Times New Roman"/>
        </w:rPr>
        <w:t>zelner Wohnungseigentümer gegen die Wo</w:t>
      </w:r>
      <w:r w:rsidRPr="00391243">
        <w:rPr>
          <w:rFonts w:cs="Times New Roman"/>
        </w:rPr>
        <w:t>h</w:t>
      </w:r>
      <w:r>
        <w:rPr>
          <w:rFonts w:cs="Times New Roman"/>
        </w:rPr>
        <w:t xml:space="preserve">nungseigentümergemeinschaft. </w:t>
      </w:r>
      <w:r w:rsidRPr="00391243">
        <w:rPr>
          <w:rFonts w:cs="Times New Roman"/>
        </w:rPr>
        <w:t>Ein Wo</w:t>
      </w:r>
      <w:r w:rsidRPr="00391243">
        <w:rPr>
          <w:rFonts w:cs="Times New Roman"/>
        </w:rPr>
        <w:t>h</w:t>
      </w:r>
      <w:r w:rsidRPr="00391243">
        <w:rPr>
          <w:rFonts w:cs="Times New Roman"/>
        </w:rPr>
        <w:t>nungseigentümer kann von dem Verwalter verlangen, dass er seine gesetzlichen Pflicht zur Durchführung von Beschlüssen gemäß § 27 Abs. 1 Nr. 1 WEG erfüllt. Dieser A</w:t>
      </w:r>
      <w:r w:rsidRPr="00391243">
        <w:rPr>
          <w:rFonts w:cs="Times New Roman"/>
        </w:rPr>
        <w:t>n</w:t>
      </w:r>
      <w:r w:rsidRPr="00391243">
        <w:rPr>
          <w:rFonts w:cs="Times New Roman"/>
        </w:rPr>
        <w:t>spruch kann gegebenenfalls im Klagewege durchgesetzt werden. Handwerker, Bauleiter oder Architekten, die der Verwalter zur Durc</w:t>
      </w:r>
      <w:r w:rsidRPr="00391243">
        <w:rPr>
          <w:rFonts w:cs="Times New Roman"/>
        </w:rPr>
        <w:t>h</w:t>
      </w:r>
      <w:r w:rsidRPr="00391243">
        <w:rPr>
          <w:rFonts w:cs="Times New Roman"/>
        </w:rPr>
        <w:t>führung einer beschlossenen Sanierung im Namen der Wohnungseigentümergemeinschaft beauftragt, sind im Verhältnis zu den einzelnen Wohnungseigentümern nicht Erfüllungsgehi</w:t>
      </w:r>
      <w:r w:rsidRPr="00391243">
        <w:rPr>
          <w:rFonts w:cs="Times New Roman"/>
        </w:rPr>
        <w:t>l</w:t>
      </w:r>
      <w:r w:rsidRPr="00391243">
        <w:rPr>
          <w:rFonts w:cs="Times New Roman"/>
        </w:rPr>
        <w:t>fen des Verbands i. S. v. §278 Abs. 1 BGB. Für Schäden, die solche Auftragnehmer schuldhaft am Sondereigentum verursachen, haftet regelmäßig nicht die Wohnungseige</w:t>
      </w:r>
      <w:r w:rsidRPr="00391243">
        <w:rPr>
          <w:rFonts w:cs="Times New Roman"/>
        </w:rPr>
        <w:t>n</w:t>
      </w:r>
      <w:r w:rsidRPr="00391243">
        <w:rPr>
          <w:rFonts w:cs="Times New Roman"/>
        </w:rPr>
        <w:t>tümergemeinschaft, sondern der Schädiger aufgrund der Verletzung von Pflichten aus einem Vertrag mit Schutzwirkung zugunsten Dritter.</w:t>
      </w:r>
    </w:p>
    <w:p w:rsidR="00391243" w:rsidRDefault="00391243" w:rsidP="009A5D8D">
      <w:pPr>
        <w:pStyle w:val="KeinLeerraum"/>
        <w:rPr>
          <w:rFonts w:cs="Times New Roman"/>
        </w:rPr>
      </w:pPr>
      <w:r w:rsidRPr="00391243">
        <w:rPr>
          <w:rFonts w:cs="Times New Roman"/>
        </w:rPr>
        <w:lastRenderedPageBreak/>
        <w:t xml:space="preserve">Der </w:t>
      </w:r>
      <w:r w:rsidRPr="00391243">
        <w:rPr>
          <w:rFonts w:cs="Times New Roman"/>
          <w:b/>
        </w:rPr>
        <w:t>BGH</w:t>
      </w:r>
      <w:r w:rsidRPr="00391243">
        <w:rPr>
          <w:rFonts w:cs="Times New Roman"/>
        </w:rPr>
        <w:t xml:space="preserve"> hat mit Urteil vom 20.04.2018 en</w:t>
      </w:r>
      <w:r w:rsidRPr="00391243">
        <w:rPr>
          <w:rFonts w:cs="Times New Roman"/>
        </w:rPr>
        <w:t>t</w:t>
      </w:r>
      <w:r w:rsidRPr="00391243">
        <w:rPr>
          <w:rFonts w:cs="Times New Roman"/>
        </w:rPr>
        <w:t>schieden, dass eine Zustellung nicht an einen ausgeschiedenen Verwalter im Rahmen eines wohnungseigentumsrechtlichen Verfahrens erfolgen kann. Eine wirksame Zustellung setzt voraus, dass er sich (noch) im Amt befindet. Der aus seinem Amt ausgeschiedene Verwalter kann Zustellungen bereits aus Gründen der Rechtssicherheit nicht mehr entgegennehmen. Denn über die Wirksamkeit einer Zustellung darf es keine Unklarheiten geben. Bei Anfec</w:t>
      </w:r>
      <w:r w:rsidRPr="00391243">
        <w:rPr>
          <w:rFonts w:cs="Times New Roman"/>
        </w:rPr>
        <w:t>h</w:t>
      </w:r>
      <w:r w:rsidRPr="00391243">
        <w:rPr>
          <w:rFonts w:cs="Times New Roman"/>
        </w:rPr>
        <w:t>tungsverfahren, die kurz vor Ablauf des B</w:t>
      </w:r>
      <w:r w:rsidRPr="00391243">
        <w:rPr>
          <w:rFonts w:cs="Times New Roman"/>
        </w:rPr>
        <w:t>e</w:t>
      </w:r>
      <w:r w:rsidRPr="00391243">
        <w:rPr>
          <w:rFonts w:cs="Times New Roman"/>
        </w:rPr>
        <w:t>stellungszeit Raums des Verwalters eingeleitet werden, empfiehlt es sich daher regelmäßig, den alten und den neuen Verwalter mit dem jeweil</w:t>
      </w:r>
      <w:r>
        <w:rPr>
          <w:rFonts w:cs="Times New Roman"/>
        </w:rPr>
        <w:t>igen Umfang des Bestellungszeitr</w:t>
      </w:r>
      <w:r w:rsidRPr="00391243">
        <w:rPr>
          <w:rFonts w:cs="Times New Roman"/>
        </w:rPr>
        <w:t>aums schon in der Klageschrift anzugeben auf diese Weise kann das Gericht erkennen, an welchen Verwalter – in Abhängigkeit vom Eingang des Kostenvorschusses – die Zustellung vorg</w:t>
      </w:r>
      <w:r w:rsidRPr="00391243">
        <w:rPr>
          <w:rFonts w:cs="Times New Roman"/>
        </w:rPr>
        <w:t>e</w:t>
      </w:r>
      <w:r w:rsidRPr="00391243">
        <w:rPr>
          <w:rFonts w:cs="Times New Roman"/>
        </w:rPr>
        <w:t xml:space="preserve">nommen werden muss. </w:t>
      </w:r>
    </w:p>
    <w:p w:rsidR="0089266F" w:rsidRDefault="0089266F" w:rsidP="009A5D8D">
      <w:pPr>
        <w:pStyle w:val="KeinLeerraum"/>
        <w:rPr>
          <w:rFonts w:cs="Times New Roman"/>
        </w:rPr>
      </w:pPr>
    </w:p>
    <w:p w:rsidR="003B2E5F" w:rsidRDefault="003B2E5F" w:rsidP="009A5D8D">
      <w:pPr>
        <w:pStyle w:val="KeinLeerraum"/>
        <w:rPr>
          <w:rFonts w:cs="Times New Roman"/>
        </w:rPr>
      </w:pPr>
      <w:r w:rsidRPr="003B2E5F">
        <w:rPr>
          <w:rFonts w:cs="Times New Roman"/>
        </w:rPr>
        <w:t xml:space="preserve">Der </w:t>
      </w:r>
      <w:r w:rsidRPr="003B2E5F">
        <w:rPr>
          <w:rFonts w:cs="Times New Roman"/>
          <w:b/>
        </w:rPr>
        <w:t>BGH</w:t>
      </w:r>
      <w:r w:rsidRPr="003B2E5F">
        <w:rPr>
          <w:rFonts w:cs="Times New Roman"/>
        </w:rPr>
        <w:t xml:space="preserve"> hat mit Urteil vom 18.04.2018 en</w:t>
      </w:r>
      <w:r w:rsidRPr="003B2E5F">
        <w:rPr>
          <w:rFonts w:cs="Times New Roman"/>
        </w:rPr>
        <w:t>t</w:t>
      </w:r>
      <w:r w:rsidRPr="003B2E5F">
        <w:rPr>
          <w:rFonts w:cs="Times New Roman"/>
        </w:rPr>
        <w:t>schieden, dass die Parteien eines Mietvertrages grundsätzlich das Mietverhältnis auch dann jederzeit durch einen Aufhebungsvertrag vo</w:t>
      </w:r>
      <w:r w:rsidRPr="003B2E5F">
        <w:rPr>
          <w:rFonts w:cs="Times New Roman"/>
        </w:rPr>
        <w:t>r</w:t>
      </w:r>
      <w:r w:rsidRPr="003B2E5F">
        <w:rPr>
          <w:rFonts w:cs="Times New Roman"/>
        </w:rPr>
        <w:t>zeitig beenden können, wenn der Mieter einen Untermietvertrag geschlossen oder einem Dri</w:t>
      </w:r>
      <w:r w:rsidRPr="003B2E5F">
        <w:rPr>
          <w:rFonts w:cs="Times New Roman"/>
        </w:rPr>
        <w:t>t</w:t>
      </w:r>
      <w:r w:rsidRPr="003B2E5F">
        <w:rPr>
          <w:rFonts w:cs="Times New Roman"/>
        </w:rPr>
        <w:t>ten auf einer anderen rechtlichen Grundlage die Mietsache zur Nutzung überlassen hat. In diesen Fällen ist der Abschluss eines Mietau</w:t>
      </w:r>
      <w:r w:rsidRPr="003B2E5F">
        <w:rPr>
          <w:rFonts w:cs="Times New Roman"/>
        </w:rPr>
        <w:t>f</w:t>
      </w:r>
      <w:r w:rsidRPr="003B2E5F">
        <w:rPr>
          <w:rFonts w:cs="Times New Roman"/>
        </w:rPr>
        <w:t>hebungsvertrages in der Regel nicht sittenwi</w:t>
      </w:r>
      <w:r w:rsidRPr="003B2E5F">
        <w:rPr>
          <w:rFonts w:cs="Times New Roman"/>
        </w:rPr>
        <w:t>d</w:t>
      </w:r>
      <w:r w:rsidRPr="003B2E5F">
        <w:rPr>
          <w:rFonts w:cs="Times New Roman"/>
        </w:rPr>
        <w:t>rig, wenn dem Hauptmieter gegen den Dritten ein Kündigungsrecht zusteht, mit dem er de</w:t>
      </w:r>
      <w:r w:rsidRPr="003B2E5F">
        <w:rPr>
          <w:rFonts w:cs="Times New Roman"/>
        </w:rPr>
        <w:t>s</w:t>
      </w:r>
      <w:r w:rsidRPr="003B2E5F">
        <w:rPr>
          <w:rFonts w:cs="Times New Roman"/>
        </w:rPr>
        <w:t>sen Gebrauchsmöglichkeit zeitnah beenden kann.</w:t>
      </w:r>
    </w:p>
    <w:p w:rsidR="003B2E5F" w:rsidRDefault="003B2E5F" w:rsidP="009A5D8D">
      <w:pPr>
        <w:pStyle w:val="KeinLeerraum"/>
        <w:rPr>
          <w:rFonts w:cs="Times New Roman"/>
        </w:rPr>
      </w:pPr>
    </w:p>
    <w:p w:rsidR="003B2E5F" w:rsidRDefault="00B94803" w:rsidP="009A5D8D">
      <w:pPr>
        <w:pStyle w:val="KeinLeerraum"/>
        <w:rPr>
          <w:rFonts w:cs="Times New Roman"/>
        </w:rPr>
      </w:pPr>
      <w:r w:rsidRPr="00B94803">
        <w:rPr>
          <w:rFonts w:cs="Times New Roman"/>
        </w:rPr>
        <w:t xml:space="preserve">Der </w:t>
      </w:r>
      <w:r w:rsidRPr="00B94803">
        <w:rPr>
          <w:rFonts w:cs="Times New Roman"/>
          <w:b/>
        </w:rPr>
        <w:t>BGH</w:t>
      </w:r>
      <w:r w:rsidRPr="00B94803">
        <w:rPr>
          <w:rFonts w:cs="Times New Roman"/>
        </w:rPr>
        <w:t xml:space="preserve"> hat unter der Aufgabe seiner bish</w:t>
      </w:r>
      <w:r w:rsidRPr="00B94803">
        <w:rPr>
          <w:rFonts w:cs="Times New Roman"/>
        </w:rPr>
        <w:t>e</w:t>
      </w:r>
      <w:r w:rsidRPr="00B94803">
        <w:rPr>
          <w:rFonts w:cs="Times New Roman"/>
        </w:rPr>
        <w:t>rigen Rechtsprechung mit Urteil vom 30.05.2018 Folgendes entschieden: Sofern und soweit Betriebskosten nach gesetzlichen Vo</w:t>
      </w:r>
      <w:r w:rsidRPr="00B94803">
        <w:rPr>
          <w:rFonts w:cs="Times New Roman"/>
        </w:rPr>
        <w:t>r</w:t>
      </w:r>
      <w:r w:rsidRPr="00B94803">
        <w:rPr>
          <w:rFonts w:cs="Times New Roman"/>
        </w:rPr>
        <w:t>gaben (§ 556a Abs. 1 BGB, § 7 Abs. 1 Hei</w:t>
      </w:r>
      <w:r w:rsidRPr="00B94803">
        <w:rPr>
          <w:rFonts w:cs="Times New Roman"/>
        </w:rPr>
        <w:t>z</w:t>
      </w:r>
      <w:r w:rsidRPr="00B94803">
        <w:rPr>
          <w:rFonts w:cs="Times New Roman"/>
        </w:rPr>
        <w:t>kostenV) ganz oder teilweise nach Wohnfl</w:t>
      </w:r>
      <w:r w:rsidRPr="00B94803">
        <w:rPr>
          <w:rFonts w:cs="Times New Roman"/>
        </w:rPr>
        <w:t>ä</w:t>
      </w:r>
      <w:r w:rsidRPr="00B94803">
        <w:rPr>
          <w:rFonts w:cs="Times New Roman"/>
        </w:rPr>
        <w:t>chenanteil umgelegt werden, ist für die A</w:t>
      </w:r>
      <w:r w:rsidRPr="00B94803">
        <w:rPr>
          <w:rFonts w:cs="Times New Roman"/>
        </w:rPr>
        <w:t>b</w:t>
      </w:r>
      <w:r w:rsidRPr="00B94803">
        <w:rPr>
          <w:rFonts w:cs="Times New Roman"/>
        </w:rPr>
        <w:t>rechnung im Allgemeinen der jeweilige Anteil der tatsächlichen Wohnfläche der betroffenen Wohnung an der in der Wirtschaftseinheit ta</w:t>
      </w:r>
      <w:r w:rsidRPr="00B94803">
        <w:rPr>
          <w:rFonts w:cs="Times New Roman"/>
        </w:rPr>
        <w:t>t</w:t>
      </w:r>
      <w:r w:rsidRPr="00B94803">
        <w:rPr>
          <w:rFonts w:cs="Times New Roman"/>
        </w:rPr>
        <w:t>sächlich vorhanden Gesamtwohnfläche ma</w:t>
      </w:r>
      <w:r w:rsidRPr="00B94803">
        <w:rPr>
          <w:rFonts w:cs="Times New Roman"/>
        </w:rPr>
        <w:t>ß</w:t>
      </w:r>
      <w:r w:rsidRPr="00B94803">
        <w:rPr>
          <w:rFonts w:cs="Times New Roman"/>
        </w:rPr>
        <w:t>geblich. Der BGH hat damit, ebenso wie im Bereich der Mieterhöhung</w:t>
      </w:r>
      <w:r>
        <w:rPr>
          <w:rFonts w:cs="Times New Roman"/>
        </w:rPr>
        <w:t>,</w:t>
      </w:r>
      <w:r w:rsidRPr="00B94803">
        <w:rPr>
          <w:rFonts w:cs="Times New Roman"/>
        </w:rPr>
        <w:t xml:space="preserve"> festgestellt, dass auch bei den Betriebskosten es ausschließlich auf die wirkliche Fläche ankommt, nicht auf die z. B. im Mietvertrag vereinbarte Fläche. </w:t>
      </w:r>
    </w:p>
    <w:p w:rsidR="00B94803" w:rsidRDefault="00B94803" w:rsidP="009A5D8D">
      <w:pPr>
        <w:pStyle w:val="KeinLeerraum"/>
        <w:rPr>
          <w:rFonts w:cs="Times New Roman"/>
        </w:rPr>
      </w:pPr>
    </w:p>
    <w:p w:rsidR="00B94803" w:rsidRDefault="00B94803" w:rsidP="009A5D8D">
      <w:pPr>
        <w:pStyle w:val="KeinLeerraum"/>
        <w:rPr>
          <w:rFonts w:cs="Times New Roman"/>
        </w:rPr>
      </w:pPr>
      <w:r w:rsidRPr="00B94803">
        <w:rPr>
          <w:rFonts w:cs="Times New Roman"/>
        </w:rPr>
        <w:t xml:space="preserve">Das </w:t>
      </w:r>
      <w:r w:rsidRPr="00B94803">
        <w:rPr>
          <w:rFonts w:cs="Times New Roman"/>
          <w:b/>
        </w:rPr>
        <w:t>Landgericht Frankfurt</w:t>
      </w:r>
      <w:r w:rsidRPr="00B94803">
        <w:rPr>
          <w:rFonts w:cs="Times New Roman"/>
        </w:rPr>
        <w:t xml:space="preserve"> </w:t>
      </w:r>
      <w:r w:rsidRPr="004F4D47">
        <w:rPr>
          <w:rFonts w:cs="Times New Roman"/>
          <w:b/>
        </w:rPr>
        <w:t>am Main</w:t>
      </w:r>
      <w:r w:rsidRPr="00B94803">
        <w:rPr>
          <w:rFonts w:cs="Times New Roman"/>
        </w:rPr>
        <w:t xml:space="preserve"> hat mit Urteil vom 26.04.2018 entschieden, dass auch </w:t>
      </w:r>
      <w:r w:rsidRPr="00B94803">
        <w:rPr>
          <w:rFonts w:cs="Times New Roman"/>
        </w:rPr>
        <w:lastRenderedPageBreak/>
        <w:t>psychisch erkrankten Mietern bei Störung des Hausfriedens fristlos gekündigt werden kann. Stört der Mieter den Hausfrieden der Hausg</w:t>
      </w:r>
      <w:r w:rsidRPr="00B94803">
        <w:rPr>
          <w:rFonts w:cs="Times New Roman"/>
        </w:rPr>
        <w:t>e</w:t>
      </w:r>
      <w:r w:rsidRPr="00B94803">
        <w:rPr>
          <w:rFonts w:cs="Times New Roman"/>
        </w:rPr>
        <w:t>meinschaft durch Weinen, Schreien, Heru</w:t>
      </w:r>
      <w:r w:rsidRPr="00B94803">
        <w:rPr>
          <w:rFonts w:cs="Times New Roman"/>
        </w:rPr>
        <w:t>m</w:t>
      </w:r>
      <w:r w:rsidRPr="00B94803">
        <w:rPr>
          <w:rFonts w:cs="Times New Roman"/>
        </w:rPr>
        <w:t>poltern zu allen Tageszeiten, insbesondere auch nachts, seit Jahren nachhaltig und wirkt sich das Verhalten des Mieters bedrohlich auf die anderen Mitglieder der Hausgemeinschaft aus und verängstigt diese, haben die Störungen ein Ausmaß, dass auch bei der gebotenen Rücksichtnahme auf psychisch erkrankte Me</w:t>
      </w:r>
      <w:r w:rsidRPr="00B94803">
        <w:rPr>
          <w:rFonts w:cs="Times New Roman"/>
        </w:rPr>
        <w:t>n</w:t>
      </w:r>
      <w:r w:rsidRPr="00B94803">
        <w:rPr>
          <w:rFonts w:cs="Times New Roman"/>
        </w:rPr>
        <w:t>schen nicht mehr hingenommen werden kann und den Vermieter zur fristlosen Kündigung berechtigt. Auch dann, wenn bei der Rä</w:t>
      </w:r>
      <w:r w:rsidRPr="00B94803">
        <w:rPr>
          <w:rFonts w:cs="Times New Roman"/>
        </w:rPr>
        <w:t>u</w:t>
      </w:r>
      <w:r w:rsidRPr="00B94803">
        <w:rPr>
          <w:rFonts w:cs="Times New Roman"/>
        </w:rPr>
        <w:t>mungsvollstreckung eine konkrete Lebensg</w:t>
      </w:r>
      <w:r w:rsidRPr="00B94803">
        <w:rPr>
          <w:rFonts w:cs="Times New Roman"/>
        </w:rPr>
        <w:t>e</w:t>
      </w:r>
      <w:r w:rsidRPr="00B94803">
        <w:rPr>
          <w:rFonts w:cs="Times New Roman"/>
        </w:rPr>
        <w:t>fahr für einen Betroffenen besteht, ist sorgfä</w:t>
      </w:r>
      <w:r w:rsidRPr="00B94803">
        <w:rPr>
          <w:rFonts w:cs="Times New Roman"/>
        </w:rPr>
        <w:t>l</w:t>
      </w:r>
      <w:r w:rsidRPr="00B94803">
        <w:rPr>
          <w:rFonts w:cs="Times New Roman"/>
        </w:rPr>
        <w:t>tig zu prüfen, ob dieser Gefahr nicht auf andere Weise als durch Einstellung der Zwangsvol</w:t>
      </w:r>
      <w:r w:rsidRPr="00B94803">
        <w:rPr>
          <w:rFonts w:cs="Times New Roman"/>
        </w:rPr>
        <w:t>l</w:t>
      </w:r>
      <w:r w:rsidRPr="00B94803">
        <w:rPr>
          <w:rFonts w:cs="Times New Roman"/>
        </w:rPr>
        <w:t>streckung wirksam begegnet werden kann. Dabei kann vom Schuldner erwartet werden, dass er alles Mögliche und Zumutbare unte</w:t>
      </w:r>
      <w:r w:rsidRPr="00B94803">
        <w:rPr>
          <w:rFonts w:cs="Times New Roman"/>
        </w:rPr>
        <w:t>r</w:t>
      </w:r>
      <w:r w:rsidRPr="00B94803">
        <w:rPr>
          <w:rFonts w:cs="Times New Roman"/>
        </w:rPr>
        <w:t>nimmt, um Gefahren für Leib oder Gesundheit auszuschließen. Insbesondere ist ihm, soweit er dazu in der Lage ist, zuzumuten, fachliche Hilfe, erforderlichenfalls auch durch eine stat</w:t>
      </w:r>
      <w:r w:rsidRPr="00B94803">
        <w:rPr>
          <w:rFonts w:cs="Times New Roman"/>
        </w:rPr>
        <w:t>i</w:t>
      </w:r>
      <w:r w:rsidRPr="00B94803">
        <w:rPr>
          <w:rFonts w:cs="Times New Roman"/>
        </w:rPr>
        <w:t>onäre Unterbringung in einer Klinik in A</w:t>
      </w:r>
      <w:r w:rsidRPr="00B94803">
        <w:rPr>
          <w:rFonts w:cs="Times New Roman"/>
        </w:rPr>
        <w:t>n</w:t>
      </w:r>
      <w:r w:rsidRPr="00B94803">
        <w:rPr>
          <w:rFonts w:cs="Times New Roman"/>
        </w:rPr>
        <w:t xml:space="preserve">spruch zu nehmen, um die Selbsttötungsgefahr auszuschließen oder zu verringern. </w:t>
      </w:r>
    </w:p>
    <w:p w:rsidR="00B94803" w:rsidRPr="00523B4D" w:rsidRDefault="00B94803" w:rsidP="00523B4D">
      <w:pPr>
        <w:spacing w:before="100" w:beforeAutospacing="1" w:after="100" w:afterAutospacing="1" w:line="240" w:lineRule="auto"/>
        <w:rPr>
          <w:rFonts w:eastAsia="Times New Roman" w:cs="Times New Roman"/>
          <w:sz w:val="24"/>
          <w:szCs w:val="24"/>
          <w:lang w:eastAsia="de-DE"/>
        </w:rPr>
      </w:pPr>
      <w:r w:rsidRPr="00B94803">
        <w:rPr>
          <w:rFonts w:cs="Times New Roman"/>
        </w:rPr>
        <w:t xml:space="preserve">Der </w:t>
      </w:r>
      <w:r w:rsidRPr="00B94803">
        <w:rPr>
          <w:rFonts w:cs="Times New Roman"/>
          <w:b/>
        </w:rPr>
        <w:t>BGH</w:t>
      </w:r>
      <w:r w:rsidRPr="00B94803">
        <w:rPr>
          <w:rFonts w:cs="Times New Roman"/>
        </w:rPr>
        <w:t xml:space="preserve"> hat mit Urteil vom 04.05.2018 en</w:t>
      </w:r>
      <w:r w:rsidRPr="00B94803">
        <w:rPr>
          <w:rFonts w:cs="Times New Roman"/>
        </w:rPr>
        <w:t>t</w:t>
      </w:r>
      <w:r w:rsidRPr="00B94803">
        <w:rPr>
          <w:rFonts w:cs="Times New Roman"/>
        </w:rPr>
        <w:t>schieden, dass dann, wenn im Bereich des Gemeinschaftseigentums gravierende bauliche Mängel vorhanden sind, die die zweckentspr</w:t>
      </w:r>
      <w:r w:rsidRPr="00B94803">
        <w:rPr>
          <w:rFonts w:cs="Times New Roman"/>
        </w:rPr>
        <w:t>e</w:t>
      </w:r>
      <w:r w:rsidRPr="00B94803">
        <w:rPr>
          <w:rFonts w:cs="Times New Roman"/>
        </w:rPr>
        <w:t>chende Nutzung von Wohnungs- oder Teile</w:t>
      </w:r>
      <w:r w:rsidRPr="00B94803">
        <w:rPr>
          <w:rFonts w:cs="Times New Roman"/>
        </w:rPr>
        <w:t>i</w:t>
      </w:r>
      <w:r w:rsidRPr="00B94803">
        <w:rPr>
          <w:rFonts w:cs="Times New Roman"/>
        </w:rPr>
        <w:t>gentumseinheiten erheblich beeinträchtigen oder sogar ausschließen, eine sofortige I</w:t>
      </w:r>
      <w:r w:rsidRPr="00B94803">
        <w:rPr>
          <w:rFonts w:cs="Times New Roman"/>
        </w:rPr>
        <w:t>n</w:t>
      </w:r>
      <w:r w:rsidRPr="00B94803">
        <w:rPr>
          <w:rFonts w:cs="Times New Roman"/>
        </w:rPr>
        <w:t xml:space="preserve">standsetzung zwingend erforderlich ist und </w:t>
      </w:r>
      <w:r w:rsidRPr="00523B4D">
        <w:rPr>
          <w:rFonts w:eastAsia="Times New Roman" w:cs="Times New Roman"/>
          <w:sz w:val="24"/>
          <w:szCs w:val="24"/>
          <w:lang w:eastAsia="de-DE"/>
        </w:rPr>
        <w:t>einzelne Wohnungseigentümer die Sani</w:t>
      </w:r>
      <w:r w:rsidRPr="00523B4D">
        <w:rPr>
          <w:rFonts w:eastAsia="Times New Roman" w:cs="Times New Roman"/>
          <w:sz w:val="24"/>
          <w:szCs w:val="24"/>
          <w:lang w:eastAsia="de-DE"/>
        </w:rPr>
        <w:t>e</w:t>
      </w:r>
      <w:r w:rsidRPr="00523B4D">
        <w:rPr>
          <w:rFonts w:eastAsia="Times New Roman" w:cs="Times New Roman"/>
          <w:sz w:val="24"/>
          <w:szCs w:val="24"/>
          <w:lang w:eastAsia="de-DE"/>
        </w:rPr>
        <w:t>rung verlangen können. Dies gilt auch dann, wenn die betroffenen Einheiten im Souter</w:t>
      </w:r>
      <w:r w:rsidR="00F31344">
        <w:rPr>
          <w:rFonts w:eastAsia="Times New Roman" w:cs="Times New Roman"/>
          <w:sz w:val="24"/>
          <w:szCs w:val="24"/>
          <w:lang w:eastAsia="de-DE"/>
        </w:rPr>
        <w:t>rain eines Altbaus gelegen sind.</w:t>
      </w:r>
    </w:p>
    <w:p w:rsidR="004F4D47" w:rsidRPr="00523B4D" w:rsidRDefault="004F4D47" w:rsidP="00523B4D">
      <w:pPr>
        <w:spacing w:before="100" w:beforeAutospacing="1" w:after="100" w:afterAutospacing="1" w:line="240" w:lineRule="auto"/>
        <w:rPr>
          <w:rFonts w:eastAsia="Times New Roman" w:cs="Times New Roman"/>
          <w:sz w:val="24"/>
          <w:szCs w:val="24"/>
          <w:lang w:eastAsia="de-DE"/>
        </w:rPr>
      </w:pPr>
      <w:r w:rsidRPr="00523B4D">
        <w:rPr>
          <w:rFonts w:eastAsia="Times New Roman" w:cs="Times New Roman"/>
          <w:sz w:val="24"/>
          <w:szCs w:val="24"/>
          <w:lang w:eastAsia="de-DE"/>
        </w:rPr>
        <w:t xml:space="preserve">Das </w:t>
      </w:r>
      <w:r w:rsidRPr="005671A6">
        <w:rPr>
          <w:rFonts w:eastAsia="Times New Roman" w:cs="Times New Roman"/>
          <w:b/>
          <w:sz w:val="24"/>
          <w:szCs w:val="24"/>
          <w:lang w:eastAsia="de-DE"/>
        </w:rPr>
        <w:t>Landgericht Frankfurt am Main</w:t>
      </w:r>
      <w:r w:rsidRPr="00523B4D">
        <w:rPr>
          <w:rFonts w:eastAsia="Times New Roman" w:cs="Times New Roman"/>
          <w:sz w:val="24"/>
          <w:szCs w:val="24"/>
          <w:lang w:eastAsia="de-DE"/>
        </w:rPr>
        <w:t xml:space="preserve"> hat mit Beschluss vom 26.03.2018 festgestellt, dass dann, wenn anstatt einer Einzelperson eine GmbH, deren Geschäftsführer der bisherige Verwalter ist, zum Verwalter gewählt werden soll, es sich nicht um die Wiederbestellung des bisherigen Verwa</w:t>
      </w:r>
      <w:r w:rsidRPr="00523B4D">
        <w:rPr>
          <w:rFonts w:eastAsia="Times New Roman" w:cs="Times New Roman"/>
          <w:sz w:val="24"/>
          <w:szCs w:val="24"/>
          <w:lang w:eastAsia="de-DE"/>
        </w:rPr>
        <w:t>l</w:t>
      </w:r>
      <w:r w:rsidRPr="00523B4D">
        <w:rPr>
          <w:rFonts w:eastAsia="Times New Roman" w:cs="Times New Roman"/>
          <w:sz w:val="24"/>
          <w:szCs w:val="24"/>
          <w:lang w:eastAsia="de-DE"/>
        </w:rPr>
        <w:t xml:space="preserve">ters handelt, sodass alternative Angebote einzuholen sind. Nach der Rechtsprechung des BGH kann bei der Wiederwahl auf Alternativangebote verzichtet werden, bei der damit verbundene Aufwand dann nicht </w:t>
      </w:r>
      <w:r w:rsidRPr="00523B4D">
        <w:rPr>
          <w:rFonts w:eastAsia="Times New Roman" w:cs="Times New Roman"/>
          <w:sz w:val="24"/>
          <w:szCs w:val="24"/>
          <w:lang w:eastAsia="de-DE"/>
        </w:rPr>
        <w:lastRenderedPageBreak/>
        <w:t>erforderlich ist, wenn die Wohnungseige</w:t>
      </w:r>
      <w:r w:rsidRPr="00523B4D">
        <w:rPr>
          <w:rFonts w:eastAsia="Times New Roman" w:cs="Times New Roman"/>
          <w:sz w:val="24"/>
          <w:szCs w:val="24"/>
          <w:lang w:eastAsia="de-DE"/>
        </w:rPr>
        <w:t>n</w:t>
      </w:r>
      <w:r w:rsidRPr="00523B4D">
        <w:rPr>
          <w:rFonts w:eastAsia="Times New Roman" w:cs="Times New Roman"/>
          <w:sz w:val="24"/>
          <w:szCs w:val="24"/>
          <w:lang w:eastAsia="de-DE"/>
        </w:rPr>
        <w:t>tümer am amtierenden Verwalter, der seine Aufgaben ordnungsgemäß erfüllt und mit dem sie gut zurechtkommen, festhalten wollen, auch wenn er etwas teuerer ist als andere Verwalter, die sie noch nicht aus eigenem Erleben kennen. Etwas anderes gilt aber dann, wenn sich seit den Erstb</w:t>
      </w:r>
      <w:r w:rsidRPr="00523B4D">
        <w:rPr>
          <w:rFonts w:eastAsia="Times New Roman" w:cs="Times New Roman"/>
          <w:sz w:val="24"/>
          <w:szCs w:val="24"/>
          <w:lang w:eastAsia="de-DE"/>
        </w:rPr>
        <w:t>e</w:t>
      </w:r>
      <w:r w:rsidRPr="00523B4D">
        <w:rPr>
          <w:rFonts w:eastAsia="Times New Roman" w:cs="Times New Roman"/>
          <w:sz w:val="24"/>
          <w:szCs w:val="24"/>
          <w:lang w:eastAsia="de-DE"/>
        </w:rPr>
        <w:t>stellung des wieder zu bestellenden Ve</w:t>
      </w:r>
      <w:r w:rsidRPr="00523B4D">
        <w:rPr>
          <w:rFonts w:eastAsia="Times New Roman" w:cs="Times New Roman"/>
          <w:sz w:val="24"/>
          <w:szCs w:val="24"/>
          <w:lang w:eastAsia="de-DE"/>
        </w:rPr>
        <w:t>r</w:t>
      </w:r>
      <w:r w:rsidRPr="00523B4D">
        <w:rPr>
          <w:rFonts w:eastAsia="Times New Roman" w:cs="Times New Roman"/>
          <w:sz w:val="24"/>
          <w:szCs w:val="24"/>
          <w:lang w:eastAsia="de-DE"/>
        </w:rPr>
        <w:t>walters der Sachverhalt verändert hat oder erstmals ein (neuer) Verwalter bestellt werden soll. Durch die Wahl einer ha</w:t>
      </w:r>
      <w:r w:rsidRPr="00523B4D">
        <w:rPr>
          <w:rFonts w:eastAsia="Times New Roman" w:cs="Times New Roman"/>
          <w:sz w:val="24"/>
          <w:szCs w:val="24"/>
          <w:lang w:eastAsia="de-DE"/>
        </w:rPr>
        <w:t>f</w:t>
      </w:r>
      <w:r w:rsidRPr="00523B4D">
        <w:rPr>
          <w:rFonts w:eastAsia="Times New Roman" w:cs="Times New Roman"/>
          <w:sz w:val="24"/>
          <w:szCs w:val="24"/>
          <w:lang w:eastAsia="de-DE"/>
        </w:rPr>
        <w:t>tungsbeschränkten Gesellschaft zu Verwa</w:t>
      </w:r>
      <w:r w:rsidRPr="00523B4D">
        <w:rPr>
          <w:rFonts w:eastAsia="Times New Roman" w:cs="Times New Roman"/>
          <w:sz w:val="24"/>
          <w:szCs w:val="24"/>
          <w:lang w:eastAsia="de-DE"/>
        </w:rPr>
        <w:t>l</w:t>
      </w:r>
      <w:r w:rsidRPr="00523B4D">
        <w:rPr>
          <w:rFonts w:eastAsia="Times New Roman" w:cs="Times New Roman"/>
          <w:sz w:val="24"/>
          <w:szCs w:val="24"/>
          <w:lang w:eastAsia="de-DE"/>
        </w:rPr>
        <w:t>terin ist eine völlig andere Sachlage eing</w:t>
      </w:r>
      <w:r w:rsidRPr="00523B4D">
        <w:rPr>
          <w:rFonts w:eastAsia="Times New Roman" w:cs="Times New Roman"/>
          <w:sz w:val="24"/>
          <w:szCs w:val="24"/>
          <w:lang w:eastAsia="de-DE"/>
        </w:rPr>
        <w:t>e</w:t>
      </w:r>
      <w:r w:rsidRPr="00523B4D">
        <w:rPr>
          <w:rFonts w:eastAsia="Times New Roman" w:cs="Times New Roman"/>
          <w:sz w:val="24"/>
          <w:szCs w:val="24"/>
          <w:lang w:eastAsia="de-DE"/>
        </w:rPr>
        <w:t>treten als durch die Wahl einer na</w:t>
      </w:r>
      <w:r w:rsidR="00F31344">
        <w:rPr>
          <w:rFonts w:eastAsia="Times New Roman" w:cs="Times New Roman"/>
          <w:sz w:val="24"/>
          <w:szCs w:val="24"/>
          <w:lang w:eastAsia="de-DE"/>
        </w:rPr>
        <w:t>türlichen Person zum Verwalter.</w:t>
      </w:r>
    </w:p>
    <w:p w:rsidR="000E5115" w:rsidRPr="00523B4D" w:rsidRDefault="000E5115" w:rsidP="00523B4D">
      <w:pPr>
        <w:spacing w:before="100" w:beforeAutospacing="1" w:after="100" w:afterAutospacing="1" w:line="240" w:lineRule="auto"/>
        <w:rPr>
          <w:rFonts w:eastAsia="Times New Roman" w:cs="Times New Roman"/>
          <w:sz w:val="24"/>
          <w:szCs w:val="24"/>
          <w:lang w:eastAsia="de-DE"/>
        </w:rPr>
      </w:pPr>
      <w:r w:rsidRPr="00523B4D">
        <w:rPr>
          <w:rFonts w:eastAsia="Times New Roman" w:cs="Times New Roman"/>
          <w:sz w:val="24"/>
          <w:szCs w:val="24"/>
          <w:lang w:eastAsia="de-DE"/>
        </w:rPr>
        <w:t xml:space="preserve">Der </w:t>
      </w:r>
      <w:r w:rsidRPr="005671A6">
        <w:rPr>
          <w:rFonts w:eastAsia="Times New Roman" w:cs="Times New Roman"/>
          <w:b/>
          <w:sz w:val="24"/>
          <w:szCs w:val="24"/>
          <w:lang w:eastAsia="de-DE"/>
        </w:rPr>
        <w:t>BGH</w:t>
      </w:r>
      <w:r w:rsidRPr="00523B4D">
        <w:rPr>
          <w:rFonts w:eastAsia="Times New Roman" w:cs="Times New Roman"/>
          <w:sz w:val="24"/>
          <w:szCs w:val="24"/>
          <w:lang w:eastAsia="de-DE"/>
        </w:rPr>
        <w:t xml:space="preserve"> hat mit Urteil vom 16.03.2018 entschieden, dass sich nach dem Gewicht des Eingriffs in die Gebäudesubstanz en</w:t>
      </w:r>
      <w:r w:rsidRPr="00523B4D">
        <w:rPr>
          <w:rFonts w:eastAsia="Times New Roman" w:cs="Times New Roman"/>
          <w:sz w:val="24"/>
          <w:szCs w:val="24"/>
          <w:lang w:eastAsia="de-DE"/>
        </w:rPr>
        <w:t>t</w:t>
      </w:r>
      <w:r w:rsidRPr="00523B4D">
        <w:rPr>
          <w:rFonts w:eastAsia="Times New Roman" w:cs="Times New Roman"/>
          <w:sz w:val="24"/>
          <w:szCs w:val="24"/>
          <w:lang w:eastAsia="de-DE"/>
        </w:rPr>
        <w:t>scheidet, ob nach einer Baumaßnahme im Bereich des Sondereigentums, bei der auch in das gemeinschaftliche Eigentum eing</w:t>
      </w:r>
      <w:r w:rsidRPr="00523B4D">
        <w:rPr>
          <w:rFonts w:eastAsia="Times New Roman" w:cs="Times New Roman"/>
          <w:sz w:val="24"/>
          <w:szCs w:val="24"/>
          <w:lang w:eastAsia="de-DE"/>
        </w:rPr>
        <w:t>e</w:t>
      </w:r>
      <w:r w:rsidRPr="00523B4D">
        <w:rPr>
          <w:rFonts w:eastAsia="Times New Roman" w:cs="Times New Roman"/>
          <w:sz w:val="24"/>
          <w:szCs w:val="24"/>
          <w:lang w:eastAsia="de-DE"/>
        </w:rPr>
        <w:t>griffen worden ist, die im Zeitpunkt der Baumaßnahme geltenden Anforderungen an den Schallschutz einzuhalten sind. Nur grundlegende Um- oder Ausbauten wie etwa ein Dachgeschossausbau begründen eine Pflicht zur Beachtung der aktuellen technischen Anforderungen an den Schal</w:t>
      </w:r>
      <w:r w:rsidRPr="00523B4D">
        <w:rPr>
          <w:rFonts w:eastAsia="Times New Roman" w:cs="Times New Roman"/>
          <w:sz w:val="24"/>
          <w:szCs w:val="24"/>
          <w:lang w:eastAsia="de-DE"/>
        </w:rPr>
        <w:t>l</w:t>
      </w:r>
      <w:r w:rsidRPr="00523B4D">
        <w:rPr>
          <w:rFonts w:eastAsia="Times New Roman" w:cs="Times New Roman"/>
          <w:sz w:val="24"/>
          <w:szCs w:val="24"/>
          <w:lang w:eastAsia="de-DE"/>
        </w:rPr>
        <w:t>schutz. Dagegen kann bei Sanierungsma</w:t>
      </w:r>
      <w:r w:rsidRPr="00523B4D">
        <w:rPr>
          <w:rFonts w:eastAsia="Times New Roman" w:cs="Times New Roman"/>
          <w:sz w:val="24"/>
          <w:szCs w:val="24"/>
          <w:lang w:eastAsia="de-DE"/>
        </w:rPr>
        <w:t>ß</w:t>
      </w:r>
      <w:r w:rsidRPr="00523B4D">
        <w:rPr>
          <w:rFonts w:eastAsia="Times New Roman" w:cs="Times New Roman"/>
          <w:sz w:val="24"/>
          <w:szCs w:val="24"/>
          <w:lang w:eastAsia="de-DE"/>
        </w:rPr>
        <w:t>nahmen, die der üblichen Instandsetzung oder der Modernisierung des Sondereige</w:t>
      </w:r>
      <w:r w:rsidRPr="00523B4D">
        <w:rPr>
          <w:rFonts w:eastAsia="Times New Roman" w:cs="Times New Roman"/>
          <w:sz w:val="24"/>
          <w:szCs w:val="24"/>
          <w:lang w:eastAsia="de-DE"/>
        </w:rPr>
        <w:t>n</w:t>
      </w:r>
      <w:r w:rsidRPr="00523B4D">
        <w:rPr>
          <w:rFonts w:eastAsia="Times New Roman" w:cs="Times New Roman"/>
          <w:sz w:val="24"/>
          <w:szCs w:val="24"/>
          <w:lang w:eastAsia="de-DE"/>
        </w:rPr>
        <w:t>tums dienen, ein verbessertes Schal</w:t>
      </w:r>
      <w:r w:rsidRPr="00523B4D">
        <w:rPr>
          <w:rFonts w:eastAsia="Times New Roman" w:cs="Times New Roman"/>
          <w:sz w:val="24"/>
          <w:szCs w:val="24"/>
          <w:lang w:eastAsia="de-DE"/>
        </w:rPr>
        <w:t>l</w:t>
      </w:r>
      <w:r w:rsidRPr="00523B4D">
        <w:rPr>
          <w:rFonts w:eastAsia="Times New Roman" w:cs="Times New Roman"/>
          <w:sz w:val="24"/>
          <w:szCs w:val="24"/>
          <w:lang w:eastAsia="de-DE"/>
        </w:rPr>
        <w:t>schutzniveau im Grundsatz nicht bea</w:t>
      </w:r>
      <w:r w:rsidRPr="00523B4D">
        <w:rPr>
          <w:rFonts w:eastAsia="Times New Roman" w:cs="Times New Roman"/>
          <w:sz w:val="24"/>
          <w:szCs w:val="24"/>
          <w:lang w:eastAsia="de-DE"/>
        </w:rPr>
        <w:t>n</w:t>
      </w:r>
      <w:r w:rsidR="005671A6">
        <w:rPr>
          <w:rFonts w:eastAsia="Times New Roman" w:cs="Times New Roman"/>
          <w:sz w:val="24"/>
          <w:szCs w:val="24"/>
          <w:lang w:eastAsia="de-DE"/>
        </w:rPr>
        <w:t>sprucht werden.</w:t>
      </w:r>
    </w:p>
    <w:p w:rsidR="00523B4D" w:rsidRPr="00523B4D" w:rsidRDefault="00523B4D" w:rsidP="00523B4D">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Der </w:t>
      </w:r>
      <w:r w:rsidRPr="005671A6">
        <w:rPr>
          <w:rFonts w:eastAsia="Times New Roman" w:cs="Times New Roman"/>
          <w:b/>
          <w:sz w:val="24"/>
          <w:szCs w:val="24"/>
          <w:lang w:eastAsia="de-DE"/>
        </w:rPr>
        <w:t>BGH</w:t>
      </w:r>
      <w:r>
        <w:rPr>
          <w:rFonts w:eastAsia="Times New Roman" w:cs="Times New Roman"/>
          <w:sz w:val="24"/>
          <w:szCs w:val="24"/>
          <w:lang w:eastAsia="de-DE"/>
        </w:rPr>
        <w:t xml:space="preserve"> hat mit </w:t>
      </w:r>
      <w:r w:rsidRPr="00523B4D">
        <w:rPr>
          <w:rFonts w:eastAsia="Times New Roman" w:cs="Times New Roman"/>
          <w:sz w:val="24"/>
          <w:szCs w:val="24"/>
          <w:lang w:eastAsia="de-DE"/>
        </w:rPr>
        <w:t xml:space="preserve"> Urteil vom 27.06.2018</w:t>
      </w:r>
      <w:r>
        <w:rPr>
          <w:rFonts w:eastAsia="Times New Roman" w:cs="Times New Roman"/>
          <w:sz w:val="24"/>
          <w:szCs w:val="24"/>
          <w:lang w:eastAsia="de-DE"/>
        </w:rPr>
        <w:t xml:space="preserve"> entschieden, dass kein </w:t>
      </w:r>
      <w:r w:rsidRPr="00523B4D">
        <w:rPr>
          <w:rFonts w:eastAsia="Times New Roman" w:cs="Times New Roman"/>
          <w:sz w:val="24"/>
          <w:szCs w:val="24"/>
          <w:lang w:eastAsia="de-DE"/>
        </w:rPr>
        <w:t>vorherige Fristse</w:t>
      </w:r>
      <w:r w:rsidRPr="00523B4D">
        <w:rPr>
          <w:rFonts w:eastAsia="Times New Roman" w:cs="Times New Roman"/>
          <w:sz w:val="24"/>
          <w:szCs w:val="24"/>
          <w:lang w:eastAsia="de-DE"/>
        </w:rPr>
        <w:t>t</w:t>
      </w:r>
      <w:r w:rsidRPr="00523B4D">
        <w:rPr>
          <w:rFonts w:eastAsia="Times New Roman" w:cs="Times New Roman"/>
          <w:sz w:val="24"/>
          <w:szCs w:val="24"/>
          <w:lang w:eastAsia="de-DE"/>
        </w:rPr>
        <w:t>zung des Vermieters für Schadensbeseit</w:t>
      </w:r>
      <w:r w:rsidRPr="00523B4D">
        <w:rPr>
          <w:rFonts w:eastAsia="Times New Roman" w:cs="Times New Roman"/>
          <w:sz w:val="24"/>
          <w:szCs w:val="24"/>
          <w:lang w:eastAsia="de-DE"/>
        </w:rPr>
        <w:t>i</w:t>
      </w:r>
      <w:r w:rsidRPr="00523B4D">
        <w:rPr>
          <w:rFonts w:eastAsia="Times New Roman" w:cs="Times New Roman"/>
          <w:sz w:val="24"/>
          <w:szCs w:val="24"/>
          <w:lang w:eastAsia="de-DE"/>
        </w:rPr>
        <w:t xml:space="preserve">gung durch den Mieter nach Beendigung des Mietverhältnisses </w:t>
      </w:r>
      <w:r>
        <w:rPr>
          <w:rFonts w:eastAsia="Times New Roman" w:cs="Times New Roman"/>
          <w:sz w:val="24"/>
          <w:szCs w:val="24"/>
          <w:lang w:eastAsia="de-DE"/>
        </w:rPr>
        <w:t xml:space="preserve">erforderlich ist. </w:t>
      </w:r>
      <w:r w:rsidRPr="00523B4D">
        <w:rPr>
          <w:rFonts w:eastAsia="Times New Roman" w:cs="Times New Roman"/>
          <w:sz w:val="24"/>
          <w:szCs w:val="24"/>
          <w:lang w:eastAsia="de-DE"/>
        </w:rPr>
        <w:t>Schäden an der Sachsubstanz der Miets</w:t>
      </w:r>
      <w:r w:rsidRPr="00523B4D">
        <w:rPr>
          <w:rFonts w:eastAsia="Times New Roman" w:cs="Times New Roman"/>
          <w:sz w:val="24"/>
          <w:szCs w:val="24"/>
          <w:lang w:eastAsia="de-DE"/>
        </w:rPr>
        <w:t>a</w:t>
      </w:r>
      <w:r w:rsidRPr="00523B4D">
        <w:rPr>
          <w:rFonts w:eastAsia="Times New Roman" w:cs="Times New Roman"/>
          <w:sz w:val="24"/>
          <w:szCs w:val="24"/>
          <w:lang w:eastAsia="de-DE"/>
        </w:rPr>
        <w:t>che, die durch eine Verletzung von Obhu</w:t>
      </w:r>
      <w:r w:rsidRPr="00523B4D">
        <w:rPr>
          <w:rFonts w:eastAsia="Times New Roman" w:cs="Times New Roman"/>
          <w:sz w:val="24"/>
          <w:szCs w:val="24"/>
          <w:lang w:eastAsia="de-DE"/>
        </w:rPr>
        <w:t>t</w:t>
      </w:r>
      <w:r w:rsidRPr="00523B4D">
        <w:rPr>
          <w:rFonts w:eastAsia="Times New Roman" w:cs="Times New Roman"/>
          <w:sz w:val="24"/>
          <w:szCs w:val="24"/>
          <w:lang w:eastAsia="de-DE"/>
        </w:rPr>
        <w:t>spflichten des Mieters entstanden sind, hat dieser - auch nach Beendigung des Mie</w:t>
      </w:r>
      <w:r w:rsidRPr="00523B4D">
        <w:rPr>
          <w:rFonts w:eastAsia="Times New Roman" w:cs="Times New Roman"/>
          <w:sz w:val="24"/>
          <w:szCs w:val="24"/>
          <w:lang w:eastAsia="de-DE"/>
        </w:rPr>
        <w:t>t</w:t>
      </w:r>
      <w:r w:rsidRPr="00523B4D">
        <w:rPr>
          <w:rFonts w:eastAsia="Times New Roman" w:cs="Times New Roman"/>
          <w:sz w:val="24"/>
          <w:szCs w:val="24"/>
          <w:lang w:eastAsia="de-DE"/>
        </w:rPr>
        <w:t xml:space="preserve">verhältnisses - nach §§ </w:t>
      </w:r>
      <w:hyperlink r:id="rId8"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9"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w:t>
      </w:r>
      <w:hyperlink r:id="rId10" w:history="1">
        <w:r w:rsidRPr="00523B4D">
          <w:rPr>
            <w:rFonts w:eastAsia="Times New Roman" w:cs="Times New Roman"/>
            <w:sz w:val="24"/>
            <w:szCs w:val="24"/>
            <w:lang w:eastAsia="de-DE"/>
          </w:rPr>
          <w:t>241</w:t>
        </w:r>
      </w:hyperlink>
      <w:r w:rsidRPr="00523B4D">
        <w:rPr>
          <w:rFonts w:eastAsia="Times New Roman" w:cs="Times New Roman"/>
          <w:sz w:val="24"/>
          <w:szCs w:val="24"/>
          <w:lang w:eastAsia="de-DE"/>
        </w:rPr>
        <w:t xml:space="preserve"> Abs. </w:t>
      </w:r>
      <w:hyperlink r:id="rId11"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BGB als Schadensersatz neben der Leistung nach Wahl des Vermieters durch Wiederherstellung (§ </w:t>
      </w:r>
      <w:hyperlink r:id="rId12" w:history="1">
        <w:r w:rsidRPr="00523B4D">
          <w:rPr>
            <w:rFonts w:eastAsia="Times New Roman" w:cs="Times New Roman"/>
            <w:sz w:val="24"/>
            <w:szCs w:val="24"/>
            <w:lang w:eastAsia="de-DE"/>
          </w:rPr>
          <w:t>249</w:t>
        </w:r>
      </w:hyperlink>
      <w:r w:rsidRPr="00523B4D">
        <w:rPr>
          <w:rFonts w:eastAsia="Times New Roman" w:cs="Times New Roman"/>
          <w:sz w:val="24"/>
          <w:szCs w:val="24"/>
          <w:lang w:eastAsia="de-DE"/>
        </w:rPr>
        <w:t xml:space="preserve"> Abs. </w:t>
      </w:r>
      <w:hyperlink r:id="rId13"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oder durch Geldzahlung (§ </w:t>
      </w:r>
      <w:hyperlink r:id="rId14" w:history="1">
        <w:r w:rsidRPr="00523B4D">
          <w:rPr>
            <w:rFonts w:eastAsia="Times New Roman" w:cs="Times New Roman"/>
            <w:sz w:val="24"/>
            <w:szCs w:val="24"/>
            <w:lang w:eastAsia="de-DE"/>
          </w:rPr>
          <w:t>249</w:t>
        </w:r>
      </w:hyperlink>
      <w:r w:rsidRPr="00523B4D">
        <w:rPr>
          <w:rFonts w:eastAsia="Times New Roman" w:cs="Times New Roman"/>
          <w:sz w:val="24"/>
          <w:szCs w:val="24"/>
          <w:lang w:eastAsia="de-DE"/>
        </w:rPr>
        <w:t xml:space="preserve"> Abs. </w:t>
      </w:r>
      <w:hyperlink r:id="rId15"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w:t>
      </w:r>
      <w:r w:rsidRPr="00523B4D">
        <w:rPr>
          <w:rFonts w:eastAsia="Times New Roman" w:cs="Times New Roman"/>
          <w:sz w:val="24"/>
          <w:szCs w:val="24"/>
          <w:lang w:eastAsia="de-DE"/>
        </w:rPr>
        <w:lastRenderedPageBreak/>
        <w:t>BGB) zu ersetzen, ohne dass es einer vo</w:t>
      </w:r>
      <w:r w:rsidRPr="00523B4D">
        <w:rPr>
          <w:rFonts w:eastAsia="Times New Roman" w:cs="Times New Roman"/>
          <w:sz w:val="24"/>
          <w:szCs w:val="24"/>
          <w:lang w:eastAsia="de-DE"/>
        </w:rPr>
        <w:t>r</w:t>
      </w:r>
      <w:r w:rsidRPr="00523B4D">
        <w:rPr>
          <w:rFonts w:eastAsia="Times New Roman" w:cs="Times New Roman"/>
          <w:sz w:val="24"/>
          <w:szCs w:val="24"/>
          <w:lang w:eastAsia="de-DE"/>
        </w:rPr>
        <w:t>herigen Fristsetzung des Vermieters b</w:t>
      </w:r>
      <w:r w:rsidRPr="00523B4D">
        <w:rPr>
          <w:rFonts w:eastAsia="Times New Roman" w:cs="Times New Roman"/>
          <w:sz w:val="24"/>
          <w:szCs w:val="24"/>
          <w:lang w:eastAsia="de-DE"/>
        </w:rPr>
        <w:t>e</w:t>
      </w:r>
      <w:r w:rsidRPr="00523B4D">
        <w:rPr>
          <w:rFonts w:eastAsia="Times New Roman" w:cs="Times New Roman"/>
          <w:sz w:val="24"/>
          <w:szCs w:val="24"/>
          <w:lang w:eastAsia="de-DE"/>
        </w:rPr>
        <w:t>darf.</w:t>
      </w:r>
      <w:r>
        <w:rPr>
          <w:rFonts w:eastAsia="Times New Roman" w:cs="Times New Roman"/>
          <w:sz w:val="24"/>
          <w:szCs w:val="24"/>
          <w:lang w:eastAsia="de-DE"/>
        </w:rPr>
        <w:t xml:space="preserve"> I</w:t>
      </w:r>
      <w:r>
        <w:t>m mietrechtlichen Schrifttum und in der Inst</w:t>
      </w:r>
      <w:r w:rsidRPr="00523B4D">
        <w:rPr>
          <w:rFonts w:eastAsia="Times New Roman" w:cs="Times New Roman"/>
          <w:sz w:val="24"/>
          <w:szCs w:val="24"/>
          <w:lang w:eastAsia="de-DE"/>
        </w:rPr>
        <w:t>anzrechtsprechung ist umstritten, ob der Vermieter bei Beschädigungen der Miets</w:t>
      </w:r>
      <w:r w:rsidRPr="00523B4D">
        <w:rPr>
          <w:rFonts w:eastAsia="Times New Roman" w:cs="Times New Roman"/>
          <w:sz w:val="24"/>
          <w:szCs w:val="24"/>
          <w:lang w:eastAsia="de-DE"/>
        </w:rPr>
        <w:t>a</w:t>
      </w:r>
      <w:r w:rsidRPr="00523B4D">
        <w:rPr>
          <w:rFonts w:eastAsia="Times New Roman" w:cs="Times New Roman"/>
          <w:sz w:val="24"/>
          <w:szCs w:val="24"/>
          <w:lang w:eastAsia="de-DE"/>
        </w:rPr>
        <w:t xml:space="preserve">che, die der Mieter durch Überschreitung des vertragsgemäßen Gebrauchs schuldhaft herbeigeführt hat oder die ihm zugerechnet werden können, nach der Rückgabe der Mietsache Schadensersatz unmittelbar nach § </w:t>
      </w:r>
      <w:hyperlink r:id="rId16"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17"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verlangen kann oder sich der Anspruch aus §§ </w:t>
      </w:r>
      <w:hyperlink r:id="rId18"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19"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w:t>
      </w:r>
      <w:hyperlink r:id="rId20" w:history="1">
        <w:r w:rsidRPr="00523B4D">
          <w:rPr>
            <w:rFonts w:eastAsia="Times New Roman" w:cs="Times New Roman"/>
            <w:sz w:val="24"/>
            <w:szCs w:val="24"/>
            <w:lang w:eastAsia="de-DE"/>
          </w:rPr>
          <w:t>281</w:t>
        </w:r>
      </w:hyperlink>
      <w:r w:rsidRPr="00523B4D">
        <w:rPr>
          <w:rFonts w:eastAsia="Times New Roman" w:cs="Times New Roman"/>
          <w:sz w:val="24"/>
          <w:szCs w:val="24"/>
          <w:lang w:eastAsia="de-DE"/>
        </w:rPr>
        <w:t xml:space="preserve"> Abs. </w:t>
      </w:r>
      <w:hyperlink r:id="rId21"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ergibt mit der Folge, dass der Vermieter dem Mieter zunächst eine angemessene Frist zur Nacherfüllung se</w:t>
      </w:r>
      <w:r w:rsidRPr="00523B4D">
        <w:rPr>
          <w:rFonts w:eastAsia="Times New Roman" w:cs="Times New Roman"/>
          <w:sz w:val="24"/>
          <w:szCs w:val="24"/>
          <w:lang w:eastAsia="de-DE"/>
        </w:rPr>
        <w:t>t</w:t>
      </w:r>
      <w:r w:rsidRPr="00523B4D">
        <w:rPr>
          <w:rFonts w:eastAsia="Times New Roman" w:cs="Times New Roman"/>
          <w:sz w:val="24"/>
          <w:szCs w:val="24"/>
          <w:lang w:eastAsia="de-DE"/>
        </w:rPr>
        <w:t>zen muss. Der Bundesgerichtshof hat nach Erlass des angefochtenen Urteils diese Streitfrage dahingehend entschieden, dass Schäden an der Sachsubstanz der Miets</w:t>
      </w:r>
      <w:r w:rsidRPr="00523B4D">
        <w:rPr>
          <w:rFonts w:eastAsia="Times New Roman" w:cs="Times New Roman"/>
          <w:sz w:val="24"/>
          <w:szCs w:val="24"/>
          <w:lang w:eastAsia="de-DE"/>
        </w:rPr>
        <w:t>a</w:t>
      </w:r>
      <w:r w:rsidRPr="00523B4D">
        <w:rPr>
          <w:rFonts w:eastAsia="Times New Roman" w:cs="Times New Roman"/>
          <w:sz w:val="24"/>
          <w:szCs w:val="24"/>
          <w:lang w:eastAsia="de-DE"/>
        </w:rPr>
        <w:t>che, die durch eine Verletzung von Obhu</w:t>
      </w:r>
      <w:r w:rsidRPr="00523B4D">
        <w:rPr>
          <w:rFonts w:eastAsia="Times New Roman" w:cs="Times New Roman"/>
          <w:sz w:val="24"/>
          <w:szCs w:val="24"/>
          <w:lang w:eastAsia="de-DE"/>
        </w:rPr>
        <w:t>t</w:t>
      </w:r>
      <w:r w:rsidRPr="00523B4D">
        <w:rPr>
          <w:rFonts w:eastAsia="Times New Roman" w:cs="Times New Roman"/>
          <w:sz w:val="24"/>
          <w:szCs w:val="24"/>
          <w:lang w:eastAsia="de-DE"/>
        </w:rPr>
        <w:t>spflichten des Mieters entstanden sind, auch nach Beendigung des Mietverhältni</w:t>
      </w:r>
      <w:r w:rsidRPr="00523B4D">
        <w:rPr>
          <w:rFonts w:eastAsia="Times New Roman" w:cs="Times New Roman"/>
          <w:sz w:val="24"/>
          <w:szCs w:val="24"/>
          <w:lang w:eastAsia="de-DE"/>
        </w:rPr>
        <w:t>s</w:t>
      </w:r>
      <w:r w:rsidRPr="00523B4D">
        <w:rPr>
          <w:rFonts w:eastAsia="Times New Roman" w:cs="Times New Roman"/>
          <w:sz w:val="24"/>
          <w:szCs w:val="24"/>
          <w:lang w:eastAsia="de-DE"/>
        </w:rPr>
        <w:t xml:space="preserve">ses nach §§ </w:t>
      </w:r>
      <w:hyperlink r:id="rId22"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23"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w:t>
      </w:r>
      <w:hyperlink r:id="rId24" w:history="1">
        <w:r w:rsidRPr="00523B4D">
          <w:rPr>
            <w:rFonts w:eastAsia="Times New Roman" w:cs="Times New Roman"/>
            <w:sz w:val="24"/>
            <w:szCs w:val="24"/>
            <w:lang w:eastAsia="de-DE"/>
          </w:rPr>
          <w:t>241</w:t>
        </w:r>
      </w:hyperlink>
      <w:r w:rsidRPr="00523B4D">
        <w:rPr>
          <w:rFonts w:eastAsia="Times New Roman" w:cs="Times New Roman"/>
          <w:sz w:val="24"/>
          <w:szCs w:val="24"/>
          <w:lang w:eastAsia="de-DE"/>
        </w:rPr>
        <w:t xml:space="preserve"> Abs. </w:t>
      </w:r>
      <w:hyperlink r:id="rId25"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BGB als Schadensersatz neben der Leistung nach Wahl des Vermieters durch Wiede</w:t>
      </w:r>
      <w:r w:rsidRPr="00523B4D">
        <w:rPr>
          <w:rFonts w:eastAsia="Times New Roman" w:cs="Times New Roman"/>
          <w:sz w:val="24"/>
          <w:szCs w:val="24"/>
          <w:lang w:eastAsia="de-DE"/>
        </w:rPr>
        <w:t>r</w:t>
      </w:r>
      <w:r w:rsidRPr="00523B4D">
        <w:rPr>
          <w:rFonts w:eastAsia="Times New Roman" w:cs="Times New Roman"/>
          <w:sz w:val="24"/>
          <w:szCs w:val="24"/>
          <w:lang w:eastAsia="de-DE"/>
        </w:rPr>
        <w:t xml:space="preserve">herstellung (§ </w:t>
      </w:r>
      <w:hyperlink r:id="rId26" w:history="1">
        <w:r w:rsidRPr="00523B4D">
          <w:rPr>
            <w:rFonts w:eastAsia="Times New Roman" w:cs="Times New Roman"/>
            <w:sz w:val="24"/>
            <w:szCs w:val="24"/>
            <w:lang w:eastAsia="de-DE"/>
          </w:rPr>
          <w:t>249</w:t>
        </w:r>
      </w:hyperlink>
      <w:r w:rsidRPr="00523B4D">
        <w:rPr>
          <w:rFonts w:eastAsia="Times New Roman" w:cs="Times New Roman"/>
          <w:sz w:val="24"/>
          <w:szCs w:val="24"/>
          <w:lang w:eastAsia="de-DE"/>
        </w:rPr>
        <w:t xml:space="preserve"> Abs. </w:t>
      </w:r>
      <w:hyperlink r:id="rId27"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oder durch Geldzahlung (§ </w:t>
      </w:r>
      <w:hyperlink r:id="rId28" w:history="1">
        <w:r w:rsidRPr="00523B4D">
          <w:rPr>
            <w:rFonts w:eastAsia="Times New Roman" w:cs="Times New Roman"/>
            <w:sz w:val="24"/>
            <w:szCs w:val="24"/>
            <w:lang w:eastAsia="de-DE"/>
          </w:rPr>
          <w:t>249</w:t>
        </w:r>
      </w:hyperlink>
      <w:r w:rsidRPr="00523B4D">
        <w:rPr>
          <w:rFonts w:eastAsia="Times New Roman" w:cs="Times New Roman"/>
          <w:sz w:val="24"/>
          <w:szCs w:val="24"/>
          <w:lang w:eastAsia="de-DE"/>
        </w:rPr>
        <w:t xml:space="preserve"> Abs. </w:t>
      </w:r>
      <w:hyperlink r:id="rId29"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BGB) vom Mieter zu ersetzen sind, ohne dass es einer vorherigen Fristsetzung des Vermieters bedarf. Für die Abgrenzung zwischen dem Schadensersatzanspruch statt der Leistung nach §§ </w:t>
      </w:r>
      <w:hyperlink r:id="rId30" w:history="1">
        <w:r w:rsidRPr="00523B4D">
          <w:rPr>
            <w:rFonts w:eastAsia="Times New Roman" w:cs="Times New Roman"/>
            <w:sz w:val="24"/>
            <w:szCs w:val="24"/>
            <w:lang w:eastAsia="de-DE"/>
          </w:rPr>
          <w:t>281</w:t>
        </w:r>
      </w:hyperlink>
      <w:r w:rsidRPr="00523B4D">
        <w:rPr>
          <w:rFonts w:eastAsia="Times New Roman" w:cs="Times New Roman"/>
          <w:sz w:val="24"/>
          <w:szCs w:val="24"/>
          <w:lang w:eastAsia="de-DE"/>
        </w:rPr>
        <w:t xml:space="preserve"> Abs. </w:t>
      </w:r>
      <w:hyperlink r:id="rId31"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S. 1, 280 Abs. </w:t>
      </w:r>
      <w:hyperlink r:id="rId32"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S. 1, Abs. </w:t>
      </w:r>
      <w:hyperlink r:id="rId33" w:history="1">
        <w:r w:rsidRPr="00523B4D">
          <w:rPr>
            <w:rFonts w:eastAsia="Times New Roman" w:cs="Times New Roman"/>
            <w:sz w:val="24"/>
            <w:szCs w:val="24"/>
            <w:lang w:eastAsia="de-DE"/>
          </w:rPr>
          <w:t>3</w:t>
        </w:r>
      </w:hyperlink>
      <w:r w:rsidRPr="00523B4D">
        <w:rPr>
          <w:rFonts w:eastAsia="Times New Roman" w:cs="Times New Roman"/>
          <w:sz w:val="24"/>
          <w:szCs w:val="24"/>
          <w:lang w:eastAsia="de-DE"/>
        </w:rPr>
        <w:t xml:space="preserve"> BGB und dem Schadensersatza</w:t>
      </w:r>
      <w:r w:rsidRPr="00523B4D">
        <w:rPr>
          <w:rFonts w:eastAsia="Times New Roman" w:cs="Times New Roman"/>
          <w:sz w:val="24"/>
          <w:szCs w:val="24"/>
          <w:lang w:eastAsia="de-DE"/>
        </w:rPr>
        <w:t>n</w:t>
      </w:r>
      <w:r w:rsidRPr="00523B4D">
        <w:rPr>
          <w:rFonts w:eastAsia="Times New Roman" w:cs="Times New Roman"/>
          <w:sz w:val="24"/>
          <w:szCs w:val="24"/>
          <w:lang w:eastAsia="de-DE"/>
        </w:rPr>
        <w:t xml:space="preserve">spruch neben der Leistung nach § </w:t>
      </w:r>
      <w:hyperlink r:id="rId34"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35"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kommt es nur darauf an, ob die Verletzung einer zur Anwendbarkeit der §§ </w:t>
      </w:r>
      <w:hyperlink r:id="rId36" w:history="1">
        <w:r w:rsidRPr="00523B4D">
          <w:rPr>
            <w:rFonts w:eastAsia="Times New Roman" w:cs="Times New Roman"/>
            <w:sz w:val="24"/>
            <w:szCs w:val="24"/>
            <w:lang w:eastAsia="de-DE"/>
          </w:rPr>
          <w:t>281</w:t>
        </w:r>
      </w:hyperlink>
      <w:r w:rsidRPr="00523B4D">
        <w:rPr>
          <w:rFonts w:eastAsia="Times New Roman" w:cs="Times New Roman"/>
          <w:sz w:val="24"/>
          <w:szCs w:val="24"/>
          <w:lang w:eastAsia="de-DE"/>
        </w:rPr>
        <w:t xml:space="preserve"> Abs. </w:t>
      </w:r>
      <w:hyperlink r:id="rId37"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w:t>
      </w:r>
      <w:hyperlink r:id="rId38" w:history="1">
        <w:r w:rsidRPr="00523B4D">
          <w:rPr>
            <w:rFonts w:eastAsia="Times New Roman" w:cs="Times New Roman"/>
            <w:sz w:val="24"/>
            <w:szCs w:val="24"/>
            <w:lang w:eastAsia="de-DE"/>
          </w:rPr>
          <w:t>281</w:t>
        </w:r>
      </w:hyperlink>
      <w:r w:rsidRPr="00523B4D">
        <w:rPr>
          <w:rFonts w:eastAsia="Times New Roman" w:cs="Times New Roman"/>
          <w:sz w:val="24"/>
          <w:szCs w:val="24"/>
          <w:lang w:eastAsia="de-DE"/>
        </w:rPr>
        <w:t xml:space="preserve"> Abs. </w:t>
      </w:r>
      <w:hyperlink r:id="rId39"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S. 1, Abs. </w:t>
      </w:r>
      <w:hyperlink r:id="rId40" w:history="1">
        <w:r w:rsidRPr="00523B4D">
          <w:rPr>
            <w:rFonts w:eastAsia="Times New Roman" w:cs="Times New Roman"/>
            <w:sz w:val="24"/>
            <w:szCs w:val="24"/>
            <w:lang w:eastAsia="de-DE"/>
          </w:rPr>
          <w:t>3</w:t>
        </w:r>
      </w:hyperlink>
      <w:r w:rsidRPr="00523B4D">
        <w:rPr>
          <w:rFonts w:eastAsia="Times New Roman" w:cs="Times New Roman"/>
          <w:sz w:val="24"/>
          <w:szCs w:val="24"/>
          <w:lang w:eastAsia="de-DE"/>
        </w:rPr>
        <w:t xml:space="preserve"> BGB führenden Leistungspflicht oder die Ve</w:t>
      </w:r>
      <w:r w:rsidRPr="00523B4D">
        <w:rPr>
          <w:rFonts w:eastAsia="Times New Roman" w:cs="Times New Roman"/>
          <w:sz w:val="24"/>
          <w:szCs w:val="24"/>
          <w:lang w:eastAsia="de-DE"/>
        </w:rPr>
        <w:t>r</w:t>
      </w:r>
      <w:r w:rsidRPr="00523B4D">
        <w:rPr>
          <w:rFonts w:eastAsia="Times New Roman" w:cs="Times New Roman"/>
          <w:sz w:val="24"/>
          <w:szCs w:val="24"/>
          <w:lang w:eastAsia="de-DE"/>
        </w:rPr>
        <w:t xml:space="preserve">letzung einer in § </w:t>
      </w:r>
      <w:hyperlink r:id="rId41" w:history="1">
        <w:r w:rsidRPr="00523B4D">
          <w:rPr>
            <w:rFonts w:eastAsia="Times New Roman" w:cs="Times New Roman"/>
            <w:sz w:val="24"/>
            <w:szCs w:val="24"/>
            <w:lang w:eastAsia="de-DE"/>
          </w:rPr>
          <w:t>241</w:t>
        </w:r>
      </w:hyperlink>
      <w:r w:rsidRPr="00523B4D">
        <w:rPr>
          <w:rFonts w:eastAsia="Times New Roman" w:cs="Times New Roman"/>
          <w:sz w:val="24"/>
          <w:szCs w:val="24"/>
          <w:lang w:eastAsia="de-DE"/>
        </w:rPr>
        <w:t xml:space="preserve"> Abs. </w:t>
      </w:r>
      <w:hyperlink r:id="rId42"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BGB gerege</w:t>
      </w:r>
      <w:r w:rsidRPr="00523B4D">
        <w:rPr>
          <w:rFonts w:eastAsia="Times New Roman" w:cs="Times New Roman"/>
          <w:sz w:val="24"/>
          <w:szCs w:val="24"/>
          <w:lang w:eastAsia="de-DE"/>
        </w:rPr>
        <w:t>l</w:t>
      </w:r>
      <w:r w:rsidRPr="00523B4D">
        <w:rPr>
          <w:rFonts w:eastAsia="Times New Roman" w:cs="Times New Roman"/>
          <w:sz w:val="24"/>
          <w:szCs w:val="24"/>
          <w:lang w:eastAsia="de-DE"/>
        </w:rPr>
        <w:t xml:space="preserve">ten vertraglichen Nebenpflicht, bei der sich die Anspruchsvoraussetzungen allein nach § </w:t>
      </w:r>
      <w:hyperlink r:id="rId43"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44"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bestimmen, in Rede steht. Unerheblich ist hingegen, ob der Schadensersatz vor oder nach Rückgabe der Mietsache geltend gemacht wird. Bei der Verpflichtung des Mieters, die ihm überlassenen Mieträume in einem dem vertragsgemäßen Gebrauch nach Maßgabe von § </w:t>
      </w:r>
      <w:hyperlink r:id="rId45" w:history="1">
        <w:r w:rsidRPr="00523B4D">
          <w:rPr>
            <w:rFonts w:eastAsia="Times New Roman" w:cs="Times New Roman"/>
            <w:sz w:val="24"/>
            <w:szCs w:val="24"/>
            <w:lang w:eastAsia="de-DE"/>
          </w:rPr>
          <w:t>538</w:t>
        </w:r>
      </w:hyperlink>
      <w:r w:rsidRPr="00523B4D">
        <w:rPr>
          <w:rFonts w:eastAsia="Times New Roman" w:cs="Times New Roman"/>
          <w:sz w:val="24"/>
          <w:szCs w:val="24"/>
          <w:lang w:eastAsia="de-DE"/>
        </w:rPr>
        <w:t xml:space="preserve"> BGB entsprechenden Zustand zu halten, insbesondere die Räume au</w:t>
      </w:r>
      <w:r w:rsidRPr="00523B4D">
        <w:rPr>
          <w:rFonts w:eastAsia="Times New Roman" w:cs="Times New Roman"/>
          <w:sz w:val="24"/>
          <w:szCs w:val="24"/>
          <w:lang w:eastAsia="de-DE"/>
        </w:rPr>
        <w:t>f</w:t>
      </w:r>
      <w:r w:rsidRPr="00523B4D">
        <w:rPr>
          <w:rFonts w:eastAsia="Times New Roman" w:cs="Times New Roman"/>
          <w:sz w:val="24"/>
          <w:szCs w:val="24"/>
          <w:lang w:eastAsia="de-DE"/>
        </w:rPr>
        <w:t>grund der aus der Besitzübertragung fo</w:t>
      </w:r>
      <w:r w:rsidRPr="00523B4D">
        <w:rPr>
          <w:rFonts w:eastAsia="Times New Roman" w:cs="Times New Roman"/>
          <w:sz w:val="24"/>
          <w:szCs w:val="24"/>
          <w:lang w:eastAsia="de-DE"/>
        </w:rPr>
        <w:t>l</w:t>
      </w:r>
      <w:r w:rsidRPr="00523B4D">
        <w:rPr>
          <w:rFonts w:eastAsia="Times New Roman" w:cs="Times New Roman"/>
          <w:sz w:val="24"/>
          <w:szCs w:val="24"/>
          <w:lang w:eastAsia="de-DE"/>
        </w:rPr>
        <w:t>genden Obhutspflicht schonend und pfle</w:t>
      </w:r>
      <w:r w:rsidRPr="00523B4D">
        <w:rPr>
          <w:rFonts w:eastAsia="Times New Roman" w:cs="Times New Roman"/>
          <w:sz w:val="24"/>
          <w:szCs w:val="24"/>
          <w:lang w:eastAsia="de-DE"/>
        </w:rPr>
        <w:t>g</w:t>
      </w:r>
      <w:r w:rsidRPr="00523B4D">
        <w:rPr>
          <w:rFonts w:eastAsia="Times New Roman" w:cs="Times New Roman"/>
          <w:sz w:val="24"/>
          <w:szCs w:val="24"/>
          <w:lang w:eastAsia="de-DE"/>
        </w:rPr>
        <w:t>lich zu behandeln sowie alles zu unterla</w:t>
      </w:r>
      <w:r w:rsidRPr="00523B4D">
        <w:rPr>
          <w:rFonts w:eastAsia="Times New Roman" w:cs="Times New Roman"/>
          <w:sz w:val="24"/>
          <w:szCs w:val="24"/>
          <w:lang w:eastAsia="de-DE"/>
        </w:rPr>
        <w:t>s</w:t>
      </w:r>
      <w:r w:rsidRPr="00523B4D">
        <w:rPr>
          <w:rFonts w:eastAsia="Times New Roman" w:cs="Times New Roman"/>
          <w:sz w:val="24"/>
          <w:szCs w:val="24"/>
          <w:lang w:eastAsia="de-DE"/>
        </w:rPr>
        <w:t xml:space="preserve">sen, was zu einer von § </w:t>
      </w:r>
      <w:hyperlink r:id="rId46" w:history="1">
        <w:r w:rsidRPr="00523B4D">
          <w:rPr>
            <w:rFonts w:eastAsia="Times New Roman" w:cs="Times New Roman"/>
            <w:sz w:val="24"/>
            <w:szCs w:val="24"/>
            <w:lang w:eastAsia="de-DE"/>
          </w:rPr>
          <w:t>538</w:t>
        </w:r>
      </w:hyperlink>
      <w:r w:rsidRPr="00523B4D">
        <w:rPr>
          <w:rFonts w:eastAsia="Times New Roman" w:cs="Times New Roman"/>
          <w:sz w:val="24"/>
          <w:szCs w:val="24"/>
          <w:lang w:eastAsia="de-DE"/>
        </w:rPr>
        <w:t xml:space="preserve"> BGB nicht mehr gedeckten Verschlechterung führen kann, handelt es sich um eine nicht lei</w:t>
      </w:r>
      <w:r w:rsidRPr="00523B4D">
        <w:rPr>
          <w:rFonts w:eastAsia="Times New Roman" w:cs="Times New Roman"/>
          <w:sz w:val="24"/>
          <w:szCs w:val="24"/>
          <w:lang w:eastAsia="de-DE"/>
        </w:rPr>
        <w:t>s</w:t>
      </w:r>
      <w:r w:rsidRPr="00523B4D">
        <w:rPr>
          <w:rFonts w:eastAsia="Times New Roman" w:cs="Times New Roman"/>
          <w:sz w:val="24"/>
          <w:szCs w:val="24"/>
          <w:lang w:eastAsia="de-DE"/>
        </w:rPr>
        <w:t xml:space="preserve">tungsbezogene Nebenpflicht im Sinne von § </w:t>
      </w:r>
      <w:hyperlink r:id="rId47" w:history="1">
        <w:r w:rsidRPr="00523B4D">
          <w:rPr>
            <w:rFonts w:eastAsia="Times New Roman" w:cs="Times New Roman"/>
            <w:sz w:val="24"/>
            <w:szCs w:val="24"/>
            <w:lang w:eastAsia="de-DE"/>
          </w:rPr>
          <w:t>241</w:t>
        </w:r>
      </w:hyperlink>
      <w:r w:rsidRPr="00523B4D">
        <w:rPr>
          <w:rFonts w:eastAsia="Times New Roman" w:cs="Times New Roman"/>
          <w:sz w:val="24"/>
          <w:szCs w:val="24"/>
          <w:lang w:eastAsia="de-DE"/>
        </w:rPr>
        <w:t xml:space="preserve"> Abs. </w:t>
      </w:r>
      <w:hyperlink r:id="rId48" w:history="1">
        <w:r w:rsidRPr="00523B4D">
          <w:rPr>
            <w:rFonts w:eastAsia="Times New Roman" w:cs="Times New Roman"/>
            <w:sz w:val="24"/>
            <w:szCs w:val="24"/>
            <w:lang w:eastAsia="de-DE"/>
          </w:rPr>
          <w:t>2</w:t>
        </w:r>
      </w:hyperlink>
      <w:r w:rsidRPr="00523B4D">
        <w:rPr>
          <w:rFonts w:eastAsia="Times New Roman" w:cs="Times New Roman"/>
          <w:sz w:val="24"/>
          <w:szCs w:val="24"/>
          <w:lang w:eastAsia="de-DE"/>
        </w:rPr>
        <w:t xml:space="preserve"> BGB, deren Verletzung allein nach den in § </w:t>
      </w:r>
      <w:hyperlink r:id="rId49" w:history="1">
        <w:r w:rsidRPr="00523B4D">
          <w:rPr>
            <w:rFonts w:eastAsia="Times New Roman" w:cs="Times New Roman"/>
            <w:sz w:val="24"/>
            <w:szCs w:val="24"/>
            <w:lang w:eastAsia="de-DE"/>
          </w:rPr>
          <w:t>280</w:t>
        </w:r>
      </w:hyperlink>
      <w:r w:rsidRPr="00523B4D">
        <w:rPr>
          <w:rFonts w:eastAsia="Times New Roman" w:cs="Times New Roman"/>
          <w:sz w:val="24"/>
          <w:szCs w:val="24"/>
          <w:lang w:eastAsia="de-DE"/>
        </w:rPr>
        <w:t xml:space="preserve"> Abs. </w:t>
      </w:r>
      <w:hyperlink r:id="rId50" w:history="1">
        <w:r w:rsidRPr="00523B4D">
          <w:rPr>
            <w:rFonts w:eastAsia="Times New Roman" w:cs="Times New Roman"/>
            <w:sz w:val="24"/>
            <w:szCs w:val="24"/>
            <w:lang w:eastAsia="de-DE"/>
          </w:rPr>
          <w:t>1</w:t>
        </w:r>
      </w:hyperlink>
      <w:r w:rsidRPr="00523B4D">
        <w:rPr>
          <w:rFonts w:eastAsia="Times New Roman" w:cs="Times New Roman"/>
          <w:sz w:val="24"/>
          <w:szCs w:val="24"/>
          <w:lang w:eastAsia="de-DE"/>
        </w:rPr>
        <w:t xml:space="preserve"> BGB geregelten Voraussetzungen eine Schadensersat</w:t>
      </w:r>
      <w:r w:rsidRPr="00523B4D">
        <w:rPr>
          <w:rFonts w:eastAsia="Times New Roman" w:cs="Times New Roman"/>
          <w:sz w:val="24"/>
          <w:szCs w:val="24"/>
          <w:lang w:eastAsia="de-DE"/>
        </w:rPr>
        <w:t>z</w:t>
      </w:r>
      <w:r w:rsidRPr="00523B4D">
        <w:rPr>
          <w:rFonts w:eastAsia="Times New Roman" w:cs="Times New Roman"/>
          <w:sz w:val="24"/>
          <w:szCs w:val="24"/>
          <w:lang w:eastAsia="de-DE"/>
        </w:rPr>
        <w:t>pflicht begründet. Das gilt nicht nur für das laufende Mietverhältnis, sondern auch nach dessen Beendigung.</w:t>
      </w:r>
    </w:p>
    <w:p w:rsidR="00F31344" w:rsidRDefault="005671A6" w:rsidP="009A5D8D">
      <w:pPr>
        <w:pStyle w:val="KeinLeerraum"/>
        <w:rPr>
          <w:rFonts w:cs="Times New Roman"/>
        </w:rPr>
      </w:pPr>
      <w:r w:rsidRPr="005671A6">
        <w:rPr>
          <w:rFonts w:cs="Times New Roman"/>
        </w:rPr>
        <w:t xml:space="preserve">Der </w:t>
      </w:r>
      <w:r w:rsidRPr="005671A6">
        <w:rPr>
          <w:rFonts w:cs="Times New Roman"/>
          <w:b/>
        </w:rPr>
        <w:t>BGH</w:t>
      </w:r>
      <w:r w:rsidRPr="005671A6">
        <w:rPr>
          <w:rFonts w:cs="Times New Roman"/>
        </w:rPr>
        <w:t xml:space="preserve"> hat mit Urteil vom 04.05.2018 en</w:t>
      </w:r>
      <w:r w:rsidRPr="005671A6">
        <w:rPr>
          <w:rFonts w:cs="Times New Roman"/>
        </w:rPr>
        <w:t>t</w:t>
      </w:r>
      <w:r w:rsidRPr="005671A6">
        <w:rPr>
          <w:rFonts w:cs="Times New Roman"/>
        </w:rPr>
        <w:t>schieden, dass das Gericht mangels entgege</w:t>
      </w:r>
      <w:r w:rsidRPr="005671A6">
        <w:rPr>
          <w:rFonts w:cs="Times New Roman"/>
        </w:rPr>
        <w:t>n</w:t>
      </w:r>
      <w:r w:rsidRPr="005671A6">
        <w:rPr>
          <w:rFonts w:cs="Times New Roman"/>
        </w:rPr>
        <w:t>stehender Anhaltspunkte in aller Regel davon ausgehen kann, dass der Verwalter bei Vorlage einer Eigentümerliste diese nach bestem Wi</w:t>
      </w:r>
      <w:r w:rsidRPr="005671A6">
        <w:rPr>
          <w:rFonts w:cs="Times New Roman"/>
        </w:rPr>
        <w:t>s</w:t>
      </w:r>
      <w:r w:rsidRPr="005671A6">
        <w:rPr>
          <w:rFonts w:cs="Times New Roman"/>
        </w:rPr>
        <w:t>sen und Gewissen erstellt hat und diese Eige</w:t>
      </w:r>
      <w:r w:rsidRPr="005671A6">
        <w:rPr>
          <w:rFonts w:cs="Times New Roman"/>
        </w:rPr>
        <w:t>n</w:t>
      </w:r>
      <w:r w:rsidRPr="005671A6">
        <w:rPr>
          <w:rFonts w:cs="Times New Roman"/>
        </w:rPr>
        <w:t>tümerliste den Eigentümerbestand im Zei</w:t>
      </w:r>
      <w:r w:rsidRPr="005671A6">
        <w:rPr>
          <w:rFonts w:cs="Times New Roman"/>
        </w:rPr>
        <w:t>t</w:t>
      </w:r>
      <w:r w:rsidRPr="005671A6">
        <w:rPr>
          <w:rFonts w:cs="Times New Roman"/>
        </w:rPr>
        <w:t>punkt der Rechtshängigkeit zutreffend au</w:t>
      </w:r>
      <w:r w:rsidRPr="005671A6">
        <w:rPr>
          <w:rFonts w:cs="Times New Roman"/>
        </w:rPr>
        <w:t>s</w:t>
      </w:r>
      <w:r w:rsidRPr="005671A6">
        <w:rPr>
          <w:rFonts w:cs="Times New Roman"/>
        </w:rPr>
        <w:t>weist. Anders liegt der Fall aber, wenn der Verwalter selbst auf Fehler der vorgelegten Liste oder Zweifel an ihrer Richtigkeit hi</w:t>
      </w:r>
      <w:r w:rsidRPr="005671A6">
        <w:rPr>
          <w:rFonts w:cs="Times New Roman"/>
        </w:rPr>
        <w:t>n</w:t>
      </w:r>
      <w:r w:rsidRPr="005671A6">
        <w:rPr>
          <w:rFonts w:cs="Times New Roman"/>
        </w:rPr>
        <w:t>weist, diese Fehler aber nicht korrigiert bzw. die Zweifel nicht aufklärt. Es ist Aufgabe des Verwalters, die für das Erstellen einer korre</w:t>
      </w:r>
      <w:r w:rsidRPr="005671A6">
        <w:rPr>
          <w:rFonts w:cs="Times New Roman"/>
        </w:rPr>
        <w:t>k</w:t>
      </w:r>
      <w:r w:rsidRPr="005671A6">
        <w:rPr>
          <w:rFonts w:cs="Times New Roman"/>
        </w:rPr>
        <w:t>ten Eigentümerliste etwaig erforderlichen E</w:t>
      </w:r>
      <w:r w:rsidRPr="005671A6">
        <w:rPr>
          <w:rFonts w:cs="Times New Roman"/>
        </w:rPr>
        <w:t>r</w:t>
      </w:r>
      <w:r w:rsidRPr="005671A6">
        <w:rPr>
          <w:rFonts w:cs="Times New Roman"/>
        </w:rPr>
        <w:t>mittlungen anzustellen. Weigert er sich, eine entsprechende Liste vorzulegen, ist er hierzu mit Zwangsmitteln anzuhalten. Als Zwang</w:t>
      </w:r>
      <w:r w:rsidRPr="005671A6">
        <w:rPr>
          <w:rFonts w:cs="Times New Roman"/>
        </w:rPr>
        <w:t>s</w:t>
      </w:r>
      <w:r w:rsidRPr="005671A6">
        <w:rPr>
          <w:rFonts w:cs="Times New Roman"/>
        </w:rPr>
        <w:t>mittel steht hierbei allerdings nur die Verhä</w:t>
      </w:r>
      <w:r w:rsidRPr="005671A6">
        <w:rPr>
          <w:rFonts w:cs="Times New Roman"/>
        </w:rPr>
        <w:t>n</w:t>
      </w:r>
      <w:r w:rsidRPr="005671A6">
        <w:rPr>
          <w:rFonts w:cs="Times New Roman"/>
        </w:rPr>
        <w:t xml:space="preserve">gung eines Ordnungsgeldes entsprechend § 142 Abs. 2 Satz 2 in Verbindung mit § 390 Abs. 1 Satz 2 ZPO zur Verfügung, nicht jedoch die Haftanordnung. </w:t>
      </w:r>
      <w:bookmarkStart w:id="0" w:name="_GoBack"/>
      <w:bookmarkEnd w:id="0"/>
    </w:p>
    <w:p w:rsidR="00107AE4" w:rsidRDefault="00256516"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-62865</wp:posOffset>
                </wp:positionH>
                <wp:positionV relativeFrom="paragraph">
                  <wp:posOffset>113665</wp:posOffset>
                </wp:positionV>
                <wp:extent cx="2914650" cy="19939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390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8.95pt;width:229.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5639D"/>
    <w:rsid w:val="0005726D"/>
    <w:rsid w:val="0006423F"/>
    <w:rsid w:val="000669C3"/>
    <w:rsid w:val="000874D5"/>
    <w:rsid w:val="00093902"/>
    <w:rsid w:val="000A7DE0"/>
    <w:rsid w:val="000B22A0"/>
    <w:rsid w:val="000B2717"/>
    <w:rsid w:val="000C477F"/>
    <w:rsid w:val="000C6C0A"/>
    <w:rsid w:val="000E41B8"/>
    <w:rsid w:val="000E5115"/>
    <w:rsid w:val="000F1727"/>
    <w:rsid w:val="00101E98"/>
    <w:rsid w:val="00107AE4"/>
    <w:rsid w:val="00111066"/>
    <w:rsid w:val="0011246D"/>
    <w:rsid w:val="00124835"/>
    <w:rsid w:val="00134C7F"/>
    <w:rsid w:val="001375AE"/>
    <w:rsid w:val="001745A0"/>
    <w:rsid w:val="00175CBB"/>
    <w:rsid w:val="001815DE"/>
    <w:rsid w:val="001A57EF"/>
    <w:rsid w:val="001B2F23"/>
    <w:rsid w:val="001B6576"/>
    <w:rsid w:val="001C1780"/>
    <w:rsid w:val="001E1622"/>
    <w:rsid w:val="001E5925"/>
    <w:rsid w:val="002004DE"/>
    <w:rsid w:val="00201A3E"/>
    <w:rsid w:val="002134DA"/>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B252E"/>
    <w:rsid w:val="003B2E5F"/>
    <w:rsid w:val="003B5986"/>
    <w:rsid w:val="003D006E"/>
    <w:rsid w:val="003D22CC"/>
    <w:rsid w:val="003D7858"/>
    <w:rsid w:val="003E1559"/>
    <w:rsid w:val="003E59C5"/>
    <w:rsid w:val="003F171B"/>
    <w:rsid w:val="003F79AF"/>
    <w:rsid w:val="004048FD"/>
    <w:rsid w:val="00421B19"/>
    <w:rsid w:val="00452DD5"/>
    <w:rsid w:val="00456F6B"/>
    <w:rsid w:val="00463FF8"/>
    <w:rsid w:val="004643D5"/>
    <w:rsid w:val="00466682"/>
    <w:rsid w:val="00475064"/>
    <w:rsid w:val="004853B0"/>
    <w:rsid w:val="00493550"/>
    <w:rsid w:val="004B2D14"/>
    <w:rsid w:val="004C6668"/>
    <w:rsid w:val="004E212C"/>
    <w:rsid w:val="004E2E95"/>
    <w:rsid w:val="004E5B6E"/>
    <w:rsid w:val="004F041F"/>
    <w:rsid w:val="004F0F1C"/>
    <w:rsid w:val="004F4D47"/>
    <w:rsid w:val="00504CA6"/>
    <w:rsid w:val="005226BB"/>
    <w:rsid w:val="00523B4D"/>
    <w:rsid w:val="00545294"/>
    <w:rsid w:val="00551ADB"/>
    <w:rsid w:val="00552B5C"/>
    <w:rsid w:val="00566C7E"/>
    <w:rsid w:val="005671A6"/>
    <w:rsid w:val="005779EB"/>
    <w:rsid w:val="00577F14"/>
    <w:rsid w:val="0058003F"/>
    <w:rsid w:val="0058014E"/>
    <w:rsid w:val="00582153"/>
    <w:rsid w:val="005927E9"/>
    <w:rsid w:val="0059626E"/>
    <w:rsid w:val="005B71F4"/>
    <w:rsid w:val="005C553D"/>
    <w:rsid w:val="005D13B1"/>
    <w:rsid w:val="00605856"/>
    <w:rsid w:val="006209B9"/>
    <w:rsid w:val="006361D2"/>
    <w:rsid w:val="00680628"/>
    <w:rsid w:val="0069034D"/>
    <w:rsid w:val="006925CB"/>
    <w:rsid w:val="006C7730"/>
    <w:rsid w:val="006D5A1E"/>
    <w:rsid w:val="00747252"/>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A1505"/>
    <w:rsid w:val="008A25EE"/>
    <w:rsid w:val="008E1688"/>
    <w:rsid w:val="008F6FB7"/>
    <w:rsid w:val="00907E5D"/>
    <w:rsid w:val="009360D0"/>
    <w:rsid w:val="00941952"/>
    <w:rsid w:val="00942C61"/>
    <w:rsid w:val="00946D50"/>
    <w:rsid w:val="009578BB"/>
    <w:rsid w:val="00970543"/>
    <w:rsid w:val="00982D96"/>
    <w:rsid w:val="00983E19"/>
    <w:rsid w:val="009925EF"/>
    <w:rsid w:val="00994BA8"/>
    <w:rsid w:val="00995261"/>
    <w:rsid w:val="00996E43"/>
    <w:rsid w:val="009A334A"/>
    <w:rsid w:val="009A5D8D"/>
    <w:rsid w:val="009B62EF"/>
    <w:rsid w:val="009C1151"/>
    <w:rsid w:val="009C21B2"/>
    <w:rsid w:val="009C59AB"/>
    <w:rsid w:val="009D717F"/>
    <w:rsid w:val="009E3F68"/>
    <w:rsid w:val="00A01125"/>
    <w:rsid w:val="00A233C0"/>
    <w:rsid w:val="00A266BF"/>
    <w:rsid w:val="00A4659F"/>
    <w:rsid w:val="00A563F1"/>
    <w:rsid w:val="00A66F4F"/>
    <w:rsid w:val="00A70069"/>
    <w:rsid w:val="00A81434"/>
    <w:rsid w:val="00AA3329"/>
    <w:rsid w:val="00AD00D9"/>
    <w:rsid w:val="00AF068A"/>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73DC"/>
    <w:rsid w:val="00B80D2C"/>
    <w:rsid w:val="00B91F93"/>
    <w:rsid w:val="00B94803"/>
    <w:rsid w:val="00B97642"/>
    <w:rsid w:val="00BE7524"/>
    <w:rsid w:val="00C00761"/>
    <w:rsid w:val="00C162CD"/>
    <w:rsid w:val="00C25EE4"/>
    <w:rsid w:val="00C41029"/>
    <w:rsid w:val="00C446AF"/>
    <w:rsid w:val="00C548FB"/>
    <w:rsid w:val="00C63C81"/>
    <w:rsid w:val="00C66441"/>
    <w:rsid w:val="00C7662F"/>
    <w:rsid w:val="00C76FBB"/>
    <w:rsid w:val="00C800F2"/>
    <w:rsid w:val="00C80531"/>
    <w:rsid w:val="00C817AB"/>
    <w:rsid w:val="00C81F09"/>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28CA"/>
    <w:rsid w:val="00DD404C"/>
    <w:rsid w:val="00DE0FD1"/>
    <w:rsid w:val="00DE4F90"/>
    <w:rsid w:val="00DF083C"/>
    <w:rsid w:val="00E02823"/>
    <w:rsid w:val="00E13739"/>
    <w:rsid w:val="00E147D7"/>
    <w:rsid w:val="00E1738B"/>
    <w:rsid w:val="00E60FAD"/>
    <w:rsid w:val="00E71BCE"/>
    <w:rsid w:val="00E76E26"/>
    <w:rsid w:val="00E77BB9"/>
    <w:rsid w:val="00E80B6B"/>
    <w:rsid w:val="00E9186B"/>
    <w:rsid w:val="00EB704E"/>
    <w:rsid w:val="00EC07D9"/>
    <w:rsid w:val="00EC6CAD"/>
    <w:rsid w:val="00ED0750"/>
    <w:rsid w:val="00ED1241"/>
    <w:rsid w:val="00EE3699"/>
    <w:rsid w:val="00EF65E1"/>
    <w:rsid w:val="00F03078"/>
    <w:rsid w:val="00F04D44"/>
    <w:rsid w:val="00F123E9"/>
    <w:rsid w:val="00F2170D"/>
    <w:rsid w:val="00F31344"/>
    <w:rsid w:val="00F55819"/>
    <w:rsid w:val="00F61F47"/>
    <w:rsid w:val="00F83B09"/>
    <w:rsid w:val="00F85A4C"/>
    <w:rsid w:val="00F95FDC"/>
    <w:rsid w:val="00FB5FDB"/>
    <w:rsid w:val="00FB7E93"/>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ck-online.beck.de/Default.aspx?typ=reference&amp;y=100&amp;G=BGB&amp;P=249&amp;X=1" TargetMode="External"/><Relationship Id="rId18" Type="http://schemas.openxmlformats.org/officeDocument/2006/relationships/hyperlink" Target="http://beck-online.beck.de/Default.aspx?typ=reference&amp;y=100&amp;G=BGB&amp;P=280" TargetMode="External"/><Relationship Id="rId26" Type="http://schemas.openxmlformats.org/officeDocument/2006/relationships/hyperlink" Target="http://beck-online.beck.de/Default.aspx?typ=reference&amp;y=100&amp;G=BGB&amp;P=249" TargetMode="External"/><Relationship Id="rId39" Type="http://schemas.openxmlformats.org/officeDocument/2006/relationships/hyperlink" Target="http://beck-online.beck.de/Default.aspx?typ=reference&amp;y=100&amp;G=BGB&amp;P=281&amp;X=1" TargetMode="External"/><Relationship Id="rId3" Type="http://schemas.openxmlformats.org/officeDocument/2006/relationships/numbering" Target="numbering.xml"/><Relationship Id="rId21" Type="http://schemas.openxmlformats.org/officeDocument/2006/relationships/hyperlink" Target="http://beck-online.beck.de/Default.aspx?typ=reference&amp;y=100&amp;G=BGB&amp;P=281&amp;X=1" TargetMode="External"/><Relationship Id="rId34" Type="http://schemas.openxmlformats.org/officeDocument/2006/relationships/hyperlink" Target="http://beck-online.beck.de/Default.aspx?typ=reference&amp;y=100&amp;G=BGB&amp;P=280" TargetMode="External"/><Relationship Id="rId42" Type="http://schemas.openxmlformats.org/officeDocument/2006/relationships/hyperlink" Target="http://beck-online.beck.de/Default.aspx?typ=reference&amp;y=100&amp;G=BGB&amp;P=241&amp;X=2" TargetMode="External"/><Relationship Id="rId47" Type="http://schemas.openxmlformats.org/officeDocument/2006/relationships/hyperlink" Target="http://beck-online.beck.de/Default.aspx?typ=reference&amp;y=100&amp;G=BGB&amp;P=241" TargetMode="External"/><Relationship Id="rId50" Type="http://schemas.openxmlformats.org/officeDocument/2006/relationships/hyperlink" Target="http://beck-online.beck.de/Default.aspx?typ=reference&amp;y=100&amp;G=BGB&amp;P=280&amp;X=1" TargetMode="External"/><Relationship Id="rId7" Type="http://schemas.openxmlformats.org/officeDocument/2006/relationships/webSettings" Target="webSettings.xml"/><Relationship Id="rId12" Type="http://schemas.openxmlformats.org/officeDocument/2006/relationships/hyperlink" Target="http://beck-online.beck.de/Default.aspx?typ=reference&amp;y=100&amp;G=BGB&amp;P=249" TargetMode="External"/><Relationship Id="rId17" Type="http://schemas.openxmlformats.org/officeDocument/2006/relationships/hyperlink" Target="http://beck-online.beck.de/Default.aspx?typ=reference&amp;y=100&amp;G=BGB&amp;P=280&amp;X=1" TargetMode="External"/><Relationship Id="rId25" Type="http://schemas.openxmlformats.org/officeDocument/2006/relationships/hyperlink" Target="http://beck-online.beck.de/Default.aspx?typ=reference&amp;y=100&amp;G=BGB&amp;P=280&amp;X=2" TargetMode="External"/><Relationship Id="rId33" Type="http://schemas.openxmlformats.org/officeDocument/2006/relationships/hyperlink" Target="http://beck-online.beck.de/Default.aspx?typ=reference&amp;y=100&amp;G=BGB&amp;P=281&amp;X=3" TargetMode="External"/><Relationship Id="rId38" Type="http://schemas.openxmlformats.org/officeDocument/2006/relationships/hyperlink" Target="http://beck-online.beck.de/Default.aspx?typ=reference&amp;y=100&amp;G=BGB&amp;P=281&amp;X=281" TargetMode="External"/><Relationship Id="rId46" Type="http://schemas.openxmlformats.org/officeDocument/2006/relationships/hyperlink" Target="http://beck-online.beck.de/Default.aspx?typ=reference&amp;y=100&amp;G=BGB&amp;P=538" TargetMode="External"/><Relationship Id="rId2" Type="http://schemas.openxmlformats.org/officeDocument/2006/relationships/customXml" Target="../customXml/item2.xml"/><Relationship Id="rId16" Type="http://schemas.openxmlformats.org/officeDocument/2006/relationships/hyperlink" Target="http://beck-online.beck.de/Default.aspx?typ=reference&amp;y=100&amp;G=BGB&amp;P=280" TargetMode="External"/><Relationship Id="rId20" Type="http://schemas.openxmlformats.org/officeDocument/2006/relationships/hyperlink" Target="http://beck-online.beck.de/Default.aspx?typ=reference&amp;y=100&amp;G=BGB&amp;P=281" TargetMode="External"/><Relationship Id="rId29" Type="http://schemas.openxmlformats.org/officeDocument/2006/relationships/hyperlink" Target="http://beck-online.beck.de/Default.aspx?typ=reference&amp;y=100&amp;G=BGB&amp;P=249&amp;X=2" TargetMode="External"/><Relationship Id="rId41" Type="http://schemas.openxmlformats.org/officeDocument/2006/relationships/hyperlink" Target="http://beck-online.beck.de/Default.aspx?typ=reference&amp;y=100&amp;G=BGB&amp;P=2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ck-online.beck.de/Default.aspx?typ=reference&amp;y=100&amp;G=BGB&amp;P=280&amp;X=2" TargetMode="External"/><Relationship Id="rId24" Type="http://schemas.openxmlformats.org/officeDocument/2006/relationships/hyperlink" Target="http://beck-online.beck.de/Default.aspx?typ=reference&amp;y=100&amp;G=BGB&amp;P=280&amp;X=241" TargetMode="External"/><Relationship Id="rId32" Type="http://schemas.openxmlformats.org/officeDocument/2006/relationships/hyperlink" Target="http://beck-online.beck.de/Default.aspx?typ=reference&amp;y=100&amp;G=BGB&amp;P=281&amp;X=1" TargetMode="External"/><Relationship Id="rId37" Type="http://schemas.openxmlformats.org/officeDocument/2006/relationships/hyperlink" Target="http://beck-online.beck.de/Default.aspx?typ=reference&amp;y=100&amp;G=BGB&amp;P=281&amp;X=1" TargetMode="External"/><Relationship Id="rId40" Type="http://schemas.openxmlformats.org/officeDocument/2006/relationships/hyperlink" Target="http://beck-online.beck.de/Default.aspx?typ=reference&amp;y=100&amp;G=BGB&amp;P=281&amp;X=3" TargetMode="External"/><Relationship Id="rId45" Type="http://schemas.openxmlformats.org/officeDocument/2006/relationships/hyperlink" Target="http://beck-online.beck.de/Default.aspx?typ=reference&amp;y=100&amp;G=BGB&amp;P=538" TargetMode="External"/><Relationship Id="rId5" Type="http://schemas.microsoft.com/office/2007/relationships/stylesWithEffects" Target="stylesWithEffects.xml"/><Relationship Id="rId15" Type="http://schemas.openxmlformats.org/officeDocument/2006/relationships/hyperlink" Target="http://beck-online.beck.de/Default.aspx?typ=reference&amp;y=100&amp;G=BGB&amp;P=249&amp;X=2" TargetMode="External"/><Relationship Id="rId23" Type="http://schemas.openxmlformats.org/officeDocument/2006/relationships/hyperlink" Target="http://beck-online.beck.de/Default.aspx?typ=reference&amp;y=100&amp;G=BGB&amp;P=280&amp;X=1" TargetMode="External"/><Relationship Id="rId28" Type="http://schemas.openxmlformats.org/officeDocument/2006/relationships/hyperlink" Target="http://beck-online.beck.de/Default.aspx?typ=reference&amp;y=100&amp;G=BGB&amp;P=249" TargetMode="External"/><Relationship Id="rId36" Type="http://schemas.openxmlformats.org/officeDocument/2006/relationships/hyperlink" Target="http://beck-online.beck.de/Default.aspx?typ=reference&amp;y=100&amp;G=BGB&amp;P=281" TargetMode="External"/><Relationship Id="rId49" Type="http://schemas.openxmlformats.org/officeDocument/2006/relationships/hyperlink" Target="http://beck-online.beck.de/Default.aspx?typ=reference&amp;y=100&amp;G=BGB&amp;P=280" TargetMode="External"/><Relationship Id="rId10" Type="http://schemas.openxmlformats.org/officeDocument/2006/relationships/hyperlink" Target="http://beck-online.beck.de/Default.aspx?typ=reference&amp;y=100&amp;G=BGB&amp;P=280&amp;X=241" TargetMode="External"/><Relationship Id="rId19" Type="http://schemas.openxmlformats.org/officeDocument/2006/relationships/hyperlink" Target="http://beck-online.beck.de/Default.aspx?typ=reference&amp;y=100&amp;G=BGB&amp;P=280&amp;X=1" TargetMode="External"/><Relationship Id="rId31" Type="http://schemas.openxmlformats.org/officeDocument/2006/relationships/hyperlink" Target="http://beck-online.beck.de/Default.aspx?typ=reference&amp;y=100&amp;G=BGB&amp;P=281&amp;X=1" TargetMode="External"/><Relationship Id="rId44" Type="http://schemas.openxmlformats.org/officeDocument/2006/relationships/hyperlink" Target="http://beck-online.beck.de/Default.aspx?typ=reference&amp;y=100&amp;G=BGB&amp;P=280&amp;X=1"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eck-online.beck.de/Default.aspx?typ=reference&amp;y=100&amp;G=BGB&amp;P=280&amp;X=1" TargetMode="External"/><Relationship Id="rId14" Type="http://schemas.openxmlformats.org/officeDocument/2006/relationships/hyperlink" Target="http://beck-online.beck.de/Default.aspx?typ=reference&amp;y=100&amp;G=BGB&amp;P=249" TargetMode="External"/><Relationship Id="rId22" Type="http://schemas.openxmlformats.org/officeDocument/2006/relationships/hyperlink" Target="http://beck-online.beck.de/Default.aspx?typ=reference&amp;y=100&amp;G=BGB&amp;P=280" TargetMode="External"/><Relationship Id="rId27" Type="http://schemas.openxmlformats.org/officeDocument/2006/relationships/hyperlink" Target="http://beck-online.beck.de/Default.aspx?typ=reference&amp;y=100&amp;G=BGB&amp;P=249&amp;X=1" TargetMode="External"/><Relationship Id="rId30" Type="http://schemas.openxmlformats.org/officeDocument/2006/relationships/hyperlink" Target="http://beck-online.beck.de/Default.aspx?typ=reference&amp;y=100&amp;G=BGB&amp;P=281" TargetMode="External"/><Relationship Id="rId35" Type="http://schemas.openxmlformats.org/officeDocument/2006/relationships/hyperlink" Target="http://beck-online.beck.de/Default.aspx?typ=reference&amp;y=100&amp;G=BGB&amp;P=280&amp;X=1" TargetMode="External"/><Relationship Id="rId43" Type="http://schemas.openxmlformats.org/officeDocument/2006/relationships/hyperlink" Target="http://beck-online.beck.de/Default.aspx?typ=reference&amp;y=100&amp;G=BGB&amp;P=280" TargetMode="External"/><Relationship Id="rId48" Type="http://schemas.openxmlformats.org/officeDocument/2006/relationships/hyperlink" Target="http://beck-online.beck.de/Default.aspx?typ=reference&amp;y=100&amp;G=BGB&amp;P=241&amp;X=2" TargetMode="External"/><Relationship Id="rId8" Type="http://schemas.openxmlformats.org/officeDocument/2006/relationships/hyperlink" Target="http://beck-online.beck.de/Default.aspx?typ=reference&amp;y=100&amp;G=BGB&amp;P=280" TargetMode="External"/><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1a29715e-2839-45df-9642-4e3e8899e9ef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4BB5-8CEF-4E70-8A18-38EBBD3C9E63}">
  <ds:schemaRefs>
    <ds:schemaRef ds:uri="http://www.datev.de/BSOffice/999929"/>
  </ds:schemaRefs>
</ds:datastoreItem>
</file>

<file path=customXml/itemProps2.xml><?xml version="1.0" encoding="utf-8"?>
<ds:datastoreItem xmlns:ds="http://schemas.openxmlformats.org/officeDocument/2006/customXml" ds:itemID="{EFF1202A-3C68-45F0-801B-E65AE1DB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13558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3</cp:revision>
  <cp:lastPrinted>2013-12-05T15:57:00Z</cp:lastPrinted>
  <dcterms:created xsi:type="dcterms:W3CDTF">2018-08-27T06:31:00Z</dcterms:created>
  <dcterms:modified xsi:type="dcterms:W3CDTF">2018-08-27T06:32:00Z</dcterms:modified>
</cp:coreProperties>
</file>