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D5133">
                              <w:rPr>
                                <w:b/>
                                <w:sz w:val="28"/>
                              </w:rPr>
                              <w:t>August</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D5133">
                        <w:rPr>
                          <w:b/>
                          <w:sz w:val="28"/>
                        </w:rPr>
                        <w:t>August</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806753" w:rsidRDefault="00806753" w:rsidP="00806753">
      <w:pPr>
        <w:pStyle w:val="KeinLeerraum"/>
        <w:rPr>
          <w:rFonts w:cs="Times New Roman"/>
        </w:rPr>
      </w:pPr>
      <w:r w:rsidRPr="00CC6BA8">
        <w:rPr>
          <w:rFonts w:cs="Times New Roman"/>
        </w:rPr>
        <w:t xml:space="preserve">Der </w:t>
      </w:r>
      <w:r w:rsidRPr="00CC6BA8">
        <w:rPr>
          <w:rFonts w:cs="Times New Roman"/>
          <w:b/>
        </w:rPr>
        <w:t>BGH</w:t>
      </w:r>
      <w:r w:rsidRPr="00CC6BA8">
        <w:rPr>
          <w:rFonts w:cs="Times New Roman"/>
        </w:rPr>
        <w:t xml:space="preserve"> hat mit Beschluss vom 10.04.2018 entschieden, dass eine drastischen Schilderung von Mietmängeln (hier u. a.: Unbewohnbarkeit diverse Räume eines Einfamilienhauses in Folge massiver Durchfeuchtung der Auße</w:t>
      </w:r>
      <w:r w:rsidRPr="00CC6BA8">
        <w:rPr>
          <w:rFonts w:cs="Times New Roman"/>
        </w:rPr>
        <w:t>n</w:t>
      </w:r>
      <w:r w:rsidRPr="00CC6BA8">
        <w:rPr>
          <w:rFonts w:cs="Times New Roman"/>
        </w:rPr>
        <w:t>wände/eindringenden Niederschlagswassers und wegen großflächiger Schimmelbildung), die erhebliche Gesundheitsgefahren für die Bewohner begründen und die mit einer wei</w:t>
      </w:r>
      <w:r w:rsidRPr="00CC6BA8">
        <w:rPr>
          <w:rFonts w:cs="Times New Roman"/>
        </w:rPr>
        <w:t>t</w:t>
      </w:r>
      <w:r w:rsidRPr="00CC6BA8">
        <w:rPr>
          <w:rFonts w:cs="Times New Roman"/>
        </w:rPr>
        <w:t>gehenden, wenn nicht gar vollständigen G</w:t>
      </w:r>
      <w:r w:rsidRPr="00CC6BA8">
        <w:rPr>
          <w:rFonts w:cs="Times New Roman"/>
        </w:rPr>
        <w:t>e</w:t>
      </w:r>
      <w:r w:rsidRPr="00CC6BA8">
        <w:rPr>
          <w:rFonts w:cs="Times New Roman"/>
        </w:rPr>
        <w:t>brauchsuntauglichkeit von Wohnräumen ei</w:t>
      </w:r>
      <w:r w:rsidRPr="00CC6BA8">
        <w:rPr>
          <w:rFonts w:cs="Times New Roman"/>
        </w:rPr>
        <w:t>n</w:t>
      </w:r>
      <w:r w:rsidRPr="00CC6BA8">
        <w:rPr>
          <w:rFonts w:cs="Times New Roman"/>
        </w:rPr>
        <w:t>hergehen und im Nachweisfall eine erhebliche geminderte Miete nahelegen, geeignet sind den Anforderungen an einen substanziierten Mä</w:t>
      </w:r>
      <w:r w:rsidRPr="00CC6BA8">
        <w:rPr>
          <w:rFonts w:cs="Times New Roman"/>
        </w:rPr>
        <w:t>n</w:t>
      </w:r>
      <w:r w:rsidRPr="00CC6BA8">
        <w:rPr>
          <w:rFonts w:cs="Times New Roman"/>
        </w:rPr>
        <w:t>gelvortrag des Mieters ohne weiteres genügen. Bei einer Minderung, die nach § 536 Abs. 1 BGB kraft Gesetzes eintritt, genügt der Mieter seiner Darlegungslast schon mit der Darlegung eines konkreten Sachmangels, der die Tau</w:t>
      </w:r>
      <w:r w:rsidRPr="00CC6BA8">
        <w:rPr>
          <w:rFonts w:cs="Times New Roman"/>
        </w:rPr>
        <w:t>g</w:t>
      </w:r>
      <w:r w:rsidRPr="00CC6BA8">
        <w:rPr>
          <w:rFonts w:cs="Times New Roman"/>
        </w:rPr>
        <w:t>lichkeit der Mietsache zum vertragsgemäßen Gebrauch beeinträchtigt. Das Maß der G</w:t>
      </w:r>
      <w:r w:rsidRPr="00CC6BA8">
        <w:rPr>
          <w:rFonts w:cs="Times New Roman"/>
        </w:rPr>
        <w:t>e</w:t>
      </w:r>
      <w:r w:rsidRPr="00CC6BA8">
        <w:rPr>
          <w:rFonts w:cs="Times New Roman"/>
        </w:rPr>
        <w:t>brauchsbeeinträchtigung braucht er hingegen nicht vorzutragen. Ebenso wenig ist es erfo</w:t>
      </w:r>
      <w:r w:rsidRPr="00CC6BA8">
        <w:rPr>
          <w:rFonts w:cs="Times New Roman"/>
        </w:rPr>
        <w:t>r</w:t>
      </w:r>
      <w:r w:rsidRPr="00CC6BA8">
        <w:rPr>
          <w:rFonts w:cs="Times New Roman"/>
        </w:rPr>
        <w:t>derlich, bei mehreren Mängeln eine Aufglied</w:t>
      </w:r>
      <w:r w:rsidRPr="00CC6BA8">
        <w:rPr>
          <w:rFonts w:cs="Times New Roman"/>
        </w:rPr>
        <w:t>e</w:t>
      </w:r>
      <w:r w:rsidRPr="00CC6BA8">
        <w:rPr>
          <w:rFonts w:cs="Times New Roman"/>
        </w:rPr>
        <w:t xml:space="preserve">rung der Minderungsbeträge bezüglich der einzelnen Mängel vorzunehmen. </w:t>
      </w:r>
    </w:p>
    <w:p w:rsidR="00806753" w:rsidRDefault="00806753" w:rsidP="00806753">
      <w:pPr>
        <w:pStyle w:val="KeinLeerraum"/>
        <w:rPr>
          <w:rFonts w:cs="Times New Roman"/>
        </w:rPr>
      </w:pPr>
    </w:p>
    <w:p w:rsidR="00806753" w:rsidRDefault="00806753" w:rsidP="00806753">
      <w:pPr>
        <w:pStyle w:val="KeinLeerraum"/>
        <w:rPr>
          <w:rFonts w:cs="Times New Roman"/>
        </w:rPr>
      </w:pPr>
      <w:r w:rsidRPr="00CC6BA8">
        <w:rPr>
          <w:rFonts w:cs="Times New Roman"/>
        </w:rPr>
        <w:t xml:space="preserve">Das </w:t>
      </w:r>
      <w:r w:rsidRPr="00CC6BA8">
        <w:rPr>
          <w:rFonts w:cs="Times New Roman"/>
          <w:b/>
        </w:rPr>
        <w:t>Amtsgericht Brandenburg</w:t>
      </w:r>
      <w:r w:rsidRPr="00CC6BA8">
        <w:rPr>
          <w:rFonts w:cs="Times New Roman"/>
        </w:rPr>
        <w:t xml:space="preserve"> hat mit Urteil vom 13.10.2017 entschieden, dass die Verl</w:t>
      </w:r>
      <w:r w:rsidRPr="00CC6BA8">
        <w:rPr>
          <w:rFonts w:cs="Times New Roman"/>
        </w:rPr>
        <w:t>e</w:t>
      </w:r>
      <w:r w:rsidRPr="00CC6BA8">
        <w:rPr>
          <w:rFonts w:cs="Times New Roman"/>
        </w:rPr>
        <w:t>gung eines Mülltonnenplatzes durch den Ve</w:t>
      </w:r>
      <w:r w:rsidRPr="00CC6BA8">
        <w:rPr>
          <w:rFonts w:cs="Times New Roman"/>
        </w:rPr>
        <w:t>r</w:t>
      </w:r>
      <w:r w:rsidRPr="00CC6BA8">
        <w:rPr>
          <w:rFonts w:cs="Times New Roman"/>
        </w:rPr>
        <w:t>mieter und die hierdurch bedingte rein optische Beeinträchtigung des Ausblick eines Mieters gemäß § 536 Abs. 1 Satz 3 BGB in Verbi</w:t>
      </w:r>
      <w:r w:rsidRPr="00CC6BA8">
        <w:rPr>
          <w:rFonts w:cs="Times New Roman"/>
        </w:rPr>
        <w:t>n</w:t>
      </w:r>
      <w:r w:rsidRPr="00CC6BA8">
        <w:rPr>
          <w:rFonts w:cs="Times New Roman"/>
        </w:rPr>
        <w:t xml:space="preserve">dung mit § 242 BGB nur eine unerhebliche Minderung der Tauglichkeit der Mietsache darstellt, wenn durch diese Verlegung des Mülltonnenplatzes weder Geruchs- noch Lärmbeeinträchtigungen hinzutreten. </w:t>
      </w:r>
    </w:p>
    <w:p w:rsidR="00806753" w:rsidRDefault="00806753" w:rsidP="00806753">
      <w:pPr>
        <w:pStyle w:val="KeinLeerraum"/>
        <w:rPr>
          <w:rFonts w:cs="Times New Roman"/>
        </w:rPr>
      </w:pPr>
    </w:p>
    <w:p w:rsidR="00806753" w:rsidRDefault="00806753" w:rsidP="00806753">
      <w:pPr>
        <w:pStyle w:val="KeinLeerraum"/>
        <w:rPr>
          <w:rFonts w:cs="Times New Roman"/>
        </w:rPr>
      </w:pPr>
      <w:r w:rsidRPr="006E7870">
        <w:rPr>
          <w:rFonts w:cs="Times New Roman"/>
        </w:rPr>
        <w:t xml:space="preserve">Das </w:t>
      </w:r>
      <w:r w:rsidRPr="006E7870">
        <w:rPr>
          <w:rFonts w:cs="Times New Roman"/>
          <w:b/>
        </w:rPr>
        <w:t>Amtsgericht München</w:t>
      </w:r>
      <w:r w:rsidRPr="006E7870">
        <w:rPr>
          <w:rFonts w:cs="Times New Roman"/>
        </w:rPr>
        <w:t xml:space="preserve"> hat mit Urteil vom 12.12.2017 entschieden, dass dann, wenn eine Ablösezahlung unter der Bedingung ve</w:t>
      </w:r>
      <w:r w:rsidRPr="006E7870">
        <w:rPr>
          <w:rFonts w:cs="Times New Roman"/>
        </w:rPr>
        <w:t>r</w:t>
      </w:r>
      <w:r w:rsidRPr="006E7870">
        <w:rPr>
          <w:rFonts w:cs="Times New Roman"/>
        </w:rPr>
        <w:t>einbart wird, dass sie nur im Fall der Mietve</w:t>
      </w:r>
      <w:r w:rsidRPr="006E7870">
        <w:rPr>
          <w:rFonts w:cs="Times New Roman"/>
        </w:rPr>
        <w:t>r</w:t>
      </w:r>
      <w:r w:rsidRPr="006E7870">
        <w:rPr>
          <w:rFonts w:cs="Times New Roman"/>
        </w:rPr>
        <w:t>tragsunterzeichnung durch Erwerber und Ve</w:t>
      </w:r>
      <w:r w:rsidRPr="006E7870">
        <w:rPr>
          <w:rFonts w:cs="Times New Roman"/>
        </w:rPr>
        <w:t>r</w:t>
      </w:r>
      <w:r w:rsidRPr="006E7870">
        <w:rPr>
          <w:rFonts w:cs="Times New Roman"/>
        </w:rPr>
        <w:t>mieter fällig werden soll, die Bedingung nicht erfüllt ist, wenn der Ablöseschuldner die Wo</w:t>
      </w:r>
      <w:r w:rsidRPr="006E7870">
        <w:rPr>
          <w:rFonts w:cs="Times New Roman"/>
        </w:rPr>
        <w:t>h</w:t>
      </w:r>
      <w:r w:rsidRPr="006E7870">
        <w:rPr>
          <w:rFonts w:cs="Times New Roman"/>
        </w:rPr>
        <w:t>nung zwar bezieht, aber ein Dritter den Mie</w:t>
      </w:r>
      <w:r w:rsidRPr="006E7870">
        <w:rPr>
          <w:rFonts w:cs="Times New Roman"/>
        </w:rPr>
        <w:t>t</w:t>
      </w:r>
      <w:r w:rsidRPr="006E7870">
        <w:rPr>
          <w:rFonts w:cs="Times New Roman"/>
        </w:rPr>
        <w:t>vertrag geschlossen hat. Das Amtsgericht hat eine Klage auf Zahlung der Ablöse abgewi</w:t>
      </w:r>
      <w:r w:rsidRPr="006E7870">
        <w:rPr>
          <w:rFonts w:cs="Times New Roman"/>
        </w:rPr>
        <w:t>e</w:t>
      </w:r>
      <w:r w:rsidRPr="006E7870">
        <w:rPr>
          <w:rFonts w:cs="Times New Roman"/>
        </w:rPr>
        <w:t xml:space="preserve">sen. Die Klägerin habe gegen den Beklagten keinen Anspruch auf die Ablösezahlung, da die </w:t>
      </w:r>
      <w:r w:rsidRPr="006E7870">
        <w:rPr>
          <w:rFonts w:cs="Times New Roman"/>
        </w:rPr>
        <w:lastRenderedPageBreak/>
        <w:t>im Vertrag genannte Bedingung nicht eingetr</w:t>
      </w:r>
      <w:r w:rsidRPr="006E7870">
        <w:rPr>
          <w:rFonts w:cs="Times New Roman"/>
        </w:rPr>
        <w:t>e</w:t>
      </w:r>
      <w:r w:rsidRPr="006E7870">
        <w:rPr>
          <w:rFonts w:cs="Times New Roman"/>
        </w:rPr>
        <w:t>ten sei. Ausweislich des vorgelegten Mietve</w:t>
      </w:r>
      <w:r w:rsidRPr="006E7870">
        <w:rPr>
          <w:rFonts w:cs="Times New Roman"/>
        </w:rPr>
        <w:t>r</w:t>
      </w:r>
      <w:r w:rsidRPr="006E7870">
        <w:rPr>
          <w:rFonts w:cs="Times New Roman"/>
        </w:rPr>
        <w:t>trages sei der Beklagte nicht Mieter der von der Klägerin ehemals bewohnten Wohnung geworden und habe auch nicht im Mietvertrag mitunterzeichnet. Mieterin sei die Mutter des Beklagten. Entgegen der Ansicht der Klägerin kam es nach dem klaren Wortlaut des Ablös</w:t>
      </w:r>
      <w:r w:rsidRPr="006E7870">
        <w:rPr>
          <w:rFonts w:cs="Times New Roman"/>
        </w:rPr>
        <w:t>e</w:t>
      </w:r>
      <w:r w:rsidRPr="006E7870">
        <w:rPr>
          <w:rFonts w:cs="Times New Roman"/>
        </w:rPr>
        <w:t>vertrages auf die formale Mietvertragsunte</w:t>
      </w:r>
      <w:r w:rsidRPr="006E7870">
        <w:rPr>
          <w:rFonts w:cs="Times New Roman"/>
        </w:rPr>
        <w:t>r</w:t>
      </w:r>
      <w:r w:rsidRPr="006E7870">
        <w:rPr>
          <w:rFonts w:cs="Times New Roman"/>
        </w:rPr>
        <w:t xml:space="preserve">zeichnung des Beklagten als Erwerber der Gegenstände an. Die rein faktische Nutzung der Wohnung reicht nicht. </w:t>
      </w:r>
    </w:p>
    <w:p w:rsidR="00FD5133" w:rsidRDefault="00FD5133" w:rsidP="009A5D8D">
      <w:pPr>
        <w:pStyle w:val="KeinLeerraum"/>
        <w:rPr>
          <w:rFonts w:cs="Times New Roman"/>
        </w:rPr>
      </w:pPr>
    </w:p>
    <w:p w:rsidR="00FD5133" w:rsidRDefault="009C1151" w:rsidP="009A5D8D">
      <w:pPr>
        <w:pStyle w:val="KeinLeerraum"/>
        <w:rPr>
          <w:rFonts w:cs="Times New Roman"/>
        </w:rPr>
      </w:pPr>
      <w:r w:rsidRPr="009C1151">
        <w:rPr>
          <w:rFonts w:cs="Times New Roman"/>
        </w:rPr>
        <w:t xml:space="preserve">Der </w:t>
      </w:r>
      <w:r w:rsidRPr="009C1151">
        <w:rPr>
          <w:rFonts w:cs="Times New Roman"/>
          <w:b/>
        </w:rPr>
        <w:t>BGH</w:t>
      </w:r>
      <w:r w:rsidRPr="009C1151">
        <w:rPr>
          <w:rFonts w:cs="Times New Roman"/>
        </w:rPr>
        <w:t xml:space="preserve"> hat mit Urteil vom 21.02.2018 en</w:t>
      </w:r>
      <w:r w:rsidRPr="009C1151">
        <w:rPr>
          <w:rFonts w:cs="Times New Roman"/>
        </w:rPr>
        <w:t>t</w:t>
      </w:r>
      <w:r w:rsidRPr="009C1151">
        <w:rPr>
          <w:rFonts w:cs="Times New Roman"/>
        </w:rPr>
        <w:t>schieden, dass ein Vermieter und Grundstück</w:t>
      </w:r>
      <w:r w:rsidRPr="009C1151">
        <w:rPr>
          <w:rFonts w:cs="Times New Roman"/>
        </w:rPr>
        <w:t>s</w:t>
      </w:r>
      <w:r w:rsidRPr="009C1151">
        <w:rPr>
          <w:rFonts w:cs="Times New Roman"/>
        </w:rPr>
        <w:t>eigentümer, dem die Gemeinde nicht als A</w:t>
      </w:r>
      <w:r w:rsidRPr="009C1151">
        <w:rPr>
          <w:rFonts w:cs="Times New Roman"/>
        </w:rPr>
        <w:t>n</w:t>
      </w:r>
      <w:r w:rsidRPr="009C1151">
        <w:rPr>
          <w:rFonts w:cs="Times New Roman"/>
        </w:rPr>
        <w:t>lieger die allgemeine Räum- und Streupflicht übertragen hat, regelmäßig nicht aus dem Mietvertrag verpflichtet ist, auch über die Grundstücksgrenzen hinaus Teile des öffentl</w:t>
      </w:r>
      <w:r w:rsidRPr="009C1151">
        <w:rPr>
          <w:rFonts w:cs="Times New Roman"/>
        </w:rPr>
        <w:t>i</w:t>
      </w:r>
      <w:r w:rsidRPr="009C1151">
        <w:rPr>
          <w:rFonts w:cs="Times New Roman"/>
        </w:rPr>
        <w:t>chen Gehwegs zu räumen und zu streuen. En</w:t>
      </w:r>
      <w:r w:rsidRPr="009C1151">
        <w:rPr>
          <w:rFonts w:cs="Times New Roman"/>
        </w:rPr>
        <w:t>t</w:t>
      </w:r>
      <w:r w:rsidRPr="009C1151">
        <w:rPr>
          <w:rFonts w:cs="Times New Roman"/>
        </w:rPr>
        <w:t>sprechendes gilt für die allgemeine (delikt</w:t>
      </w:r>
      <w:r w:rsidRPr="009C1151">
        <w:rPr>
          <w:rFonts w:cs="Times New Roman"/>
        </w:rPr>
        <w:t>i</w:t>
      </w:r>
      <w:r w:rsidRPr="009C1151">
        <w:rPr>
          <w:rFonts w:cs="Times New Roman"/>
        </w:rPr>
        <w:t>sche) Verkehrssicherungspflicht des Grun</w:t>
      </w:r>
      <w:r w:rsidRPr="009C1151">
        <w:rPr>
          <w:rFonts w:cs="Times New Roman"/>
        </w:rPr>
        <w:t>d</w:t>
      </w:r>
      <w:r w:rsidRPr="009C1151">
        <w:rPr>
          <w:rFonts w:cs="Times New Roman"/>
        </w:rPr>
        <w:t>stückseigentümers aus § 823 Abs. I BGB.</w:t>
      </w:r>
    </w:p>
    <w:p w:rsidR="009C1151" w:rsidRDefault="009C1151" w:rsidP="009A5D8D">
      <w:pPr>
        <w:pStyle w:val="KeinLeerraum"/>
        <w:rPr>
          <w:rFonts w:cs="Times New Roman"/>
        </w:rPr>
      </w:pPr>
    </w:p>
    <w:p w:rsidR="009C1151" w:rsidRDefault="009C1151" w:rsidP="009A5D8D">
      <w:pPr>
        <w:pStyle w:val="KeinLeerraum"/>
        <w:rPr>
          <w:rFonts w:cs="Times New Roman"/>
        </w:rPr>
      </w:pPr>
      <w:r w:rsidRPr="009C1151">
        <w:rPr>
          <w:rFonts w:cs="Times New Roman"/>
        </w:rPr>
        <w:t xml:space="preserve">Das </w:t>
      </w:r>
      <w:r w:rsidRPr="009C1151">
        <w:rPr>
          <w:rFonts w:cs="Times New Roman"/>
          <w:b/>
        </w:rPr>
        <w:t>Landgericht Saarbrücken</w:t>
      </w:r>
      <w:r w:rsidRPr="009C1151">
        <w:rPr>
          <w:rFonts w:cs="Times New Roman"/>
        </w:rPr>
        <w:t xml:space="preserve"> hat mit Urteil vom 04.05.2018 entschieden, dass solange die Wohnungseigentümergemeinschaft kein eig</w:t>
      </w:r>
      <w:r w:rsidRPr="009C1151">
        <w:rPr>
          <w:rFonts w:cs="Times New Roman"/>
        </w:rPr>
        <w:t>e</w:t>
      </w:r>
      <w:r w:rsidRPr="009C1151">
        <w:rPr>
          <w:rFonts w:cs="Times New Roman"/>
        </w:rPr>
        <w:t>nes Konto eingerichtet hat, sondern Hausgel</w:t>
      </w:r>
      <w:r w:rsidRPr="009C1151">
        <w:rPr>
          <w:rFonts w:cs="Times New Roman"/>
        </w:rPr>
        <w:t>d</w:t>
      </w:r>
      <w:r w:rsidRPr="009C1151">
        <w:rPr>
          <w:rFonts w:cs="Times New Roman"/>
        </w:rPr>
        <w:t>zahlungen auf ein auf den Namen des Verwa</w:t>
      </w:r>
      <w:r w:rsidRPr="009C1151">
        <w:rPr>
          <w:rFonts w:cs="Times New Roman"/>
        </w:rPr>
        <w:t>l</w:t>
      </w:r>
      <w:r w:rsidRPr="009C1151">
        <w:rPr>
          <w:rFonts w:cs="Times New Roman"/>
        </w:rPr>
        <w:t>ters lautendes offenes Treuhandkonto verlangt werden, der Wohnungseigentümer mangels Fälligkeit der Hausgeldforderung zur Lei</w:t>
      </w:r>
      <w:r w:rsidRPr="009C1151">
        <w:rPr>
          <w:rFonts w:cs="Times New Roman"/>
        </w:rPr>
        <w:t>s</w:t>
      </w:r>
      <w:r w:rsidRPr="009C1151">
        <w:rPr>
          <w:rFonts w:cs="Times New Roman"/>
        </w:rPr>
        <w:t xml:space="preserve">tungsverweigerung berechtigt ist. </w:t>
      </w:r>
    </w:p>
    <w:p w:rsidR="009C1151" w:rsidRDefault="009C1151" w:rsidP="009A5D8D">
      <w:pPr>
        <w:pStyle w:val="KeinLeerraum"/>
        <w:rPr>
          <w:rFonts w:cs="Times New Roman"/>
        </w:rPr>
      </w:pPr>
    </w:p>
    <w:p w:rsidR="009C1151" w:rsidRDefault="009C1151" w:rsidP="009A5D8D">
      <w:pPr>
        <w:pStyle w:val="KeinLeerraum"/>
        <w:rPr>
          <w:rFonts w:cs="Times New Roman"/>
        </w:rPr>
      </w:pPr>
      <w:r w:rsidRPr="009C1151">
        <w:rPr>
          <w:rFonts w:cs="Times New Roman"/>
        </w:rPr>
        <w:t xml:space="preserve">Das </w:t>
      </w:r>
      <w:r w:rsidRPr="009C1151">
        <w:rPr>
          <w:rFonts w:cs="Times New Roman"/>
          <w:b/>
        </w:rPr>
        <w:t>OLG Brandenburg</w:t>
      </w:r>
      <w:r w:rsidRPr="009C1151">
        <w:rPr>
          <w:rFonts w:cs="Times New Roman"/>
        </w:rPr>
        <w:t xml:space="preserve"> hat mit Urteil vom 08.02.2018 entschieden, dass ein Rückschnitt von Stark- und Grobästen, d. h. Ästen im U</w:t>
      </w:r>
      <w:r w:rsidRPr="009C1151">
        <w:rPr>
          <w:rFonts w:cs="Times New Roman"/>
        </w:rPr>
        <w:t>m</w:t>
      </w:r>
      <w:r w:rsidRPr="009C1151">
        <w:rPr>
          <w:rFonts w:cs="Times New Roman"/>
        </w:rPr>
        <w:t>fang von mehr als 5 cm Durchmesser, bei ält</w:t>
      </w:r>
      <w:r w:rsidRPr="009C1151">
        <w:rPr>
          <w:rFonts w:cs="Times New Roman"/>
        </w:rPr>
        <w:t>e</w:t>
      </w:r>
      <w:r w:rsidRPr="009C1151">
        <w:rPr>
          <w:rFonts w:cs="Times New Roman"/>
        </w:rPr>
        <w:t>ren Bäumen (hier Linden) zu erheblichen Schädigungen des Baumes führen kann und dass das nachbarrechtliche Selbsthilferecht zum Zurückschneiden von Überwuchs zurüc</w:t>
      </w:r>
      <w:r w:rsidRPr="009C1151">
        <w:rPr>
          <w:rFonts w:cs="Times New Roman"/>
        </w:rPr>
        <w:t>k</w:t>
      </w:r>
      <w:r w:rsidRPr="009C1151">
        <w:rPr>
          <w:rFonts w:cs="Times New Roman"/>
        </w:rPr>
        <w:t>zutreten hat. Namentlich ein heckenartiger Rückschnitt scheidet insofern aus. Vor dem Einkürzen eines über Jahrzehnte gewachsenen grenznahen Baumbestandes erkundigt sich ein besonnener Nachbar nach den Folgen für das fremde Eigentum. Widrigenfalls handelt er, selbst wenn er die Arbeiten von einer Fachfi</w:t>
      </w:r>
      <w:r w:rsidRPr="009C1151">
        <w:rPr>
          <w:rFonts w:cs="Times New Roman"/>
        </w:rPr>
        <w:t>r</w:t>
      </w:r>
      <w:r w:rsidRPr="009C1151">
        <w:rPr>
          <w:rFonts w:cs="Times New Roman"/>
        </w:rPr>
        <w:t>ma nach seinen Vorgaben ausführen lässt, fahrlässig. Aus dem Umstand, dass die zustä</w:t>
      </w:r>
      <w:r w:rsidRPr="009C1151">
        <w:rPr>
          <w:rFonts w:cs="Times New Roman"/>
        </w:rPr>
        <w:t>n</w:t>
      </w:r>
      <w:r w:rsidRPr="009C1151">
        <w:rPr>
          <w:rFonts w:cs="Times New Roman"/>
        </w:rPr>
        <w:t>digen Behörden Bäume auf öffentlichen Fl</w:t>
      </w:r>
      <w:r w:rsidRPr="009C1151">
        <w:rPr>
          <w:rFonts w:cs="Times New Roman"/>
        </w:rPr>
        <w:t>ä</w:t>
      </w:r>
      <w:r w:rsidRPr="009C1151">
        <w:rPr>
          <w:rFonts w:cs="Times New Roman"/>
        </w:rPr>
        <w:t xml:space="preserve">chen regelmäßig vergleichbar behandeln, kann ein privater Grundstücksnachbar insbesondere dann nichts zu seinen Gunsten herleiten, wenn </w:t>
      </w:r>
      <w:r w:rsidRPr="009C1151">
        <w:rPr>
          <w:rFonts w:cs="Times New Roman"/>
        </w:rPr>
        <w:lastRenderedPageBreak/>
        <w:t xml:space="preserve">er den alten Baumbestand erstmals Einkürzen lässt, da dies eine größere Gefahr für den Baumbestand bedeutet. </w:t>
      </w:r>
    </w:p>
    <w:p w:rsidR="009C1151" w:rsidRDefault="009C1151" w:rsidP="009A5D8D">
      <w:pPr>
        <w:pStyle w:val="KeinLeerraum"/>
        <w:rPr>
          <w:rFonts w:cs="Times New Roman"/>
        </w:rPr>
      </w:pPr>
    </w:p>
    <w:p w:rsidR="009C1151" w:rsidRDefault="00B203F4" w:rsidP="009A5D8D">
      <w:pPr>
        <w:pStyle w:val="KeinLeerraum"/>
        <w:rPr>
          <w:rFonts w:cs="Times New Roman"/>
        </w:rPr>
      </w:pPr>
      <w:r w:rsidRPr="00B203F4">
        <w:rPr>
          <w:rFonts w:cs="Times New Roman"/>
        </w:rPr>
        <w:t xml:space="preserve">Der </w:t>
      </w:r>
      <w:r w:rsidRPr="00B203F4">
        <w:rPr>
          <w:rFonts w:cs="Times New Roman"/>
          <w:b/>
        </w:rPr>
        <w:t>BGH</w:t>
      </w:r>
      <w:r w:rsidRPr="00B203F4">
        <w:rPr>
          <w:rFonts w:cs="Times New Roman"/>
        </w:rPr>
        <w:t xml:space="preserve"> hat mit Beschluss vom 08.05.2018 entschieden, dass dann</w:t>
      </w:r>
      <w:r>
        <w:rPr>
          <w:rFonts w:cs="Times New Roman"/>
        </w:rPr>
        <w:t>,</w:t>
      </w:r>
      <w:r w:rsidRPr="00B203F4">
        <w:rPr>
          <w:rFonts w:cs="Times New Roman"/>
        </w:rPr>
        <w:t xml:space="preserve"> wenn der Mieter auf Wunsch des Vermieters einen Formularmie</w:t>
      </w:r>
      <w:r w:rsidRPr="00B203F4">
        <w:rPr>
          <w:rFonts w:cs="Times New Roman"/>
        </w:rPr>
        <w:t>t</w:t>
      </w:r>
      <w:r w:rsidRPr="00B203F4">
        <w:rPr>
          <w:rFonts w:cs="Times New Roman"/>
        </w:rPr>
        <w:t>vertrag besorgt, der Vermieter der Verwender im Rechtssinne ist. Die individuelle Vereinb</w:t>
      </w:r>
      <w:r w:rsidRPr="00B203F4">
        <w:rPr>
          <w:rFonts w:cs="Times New Roman"/>
        </w:rPr>
        <w:t>a</w:t>
      </w:r>
      <w:r w:rsidRPr="00B203F4">
        <w:rPr>
          <w:rFonts w:cs="Times New Roman"/>
        </w:rPr>
        <w:t>rung eines dauerhaften Ausschlusses der o</w:t>
      </w:r>
      <w:r w:rsidRPr="00B203F4">
        <w:rPr>
          <w:rFonts w:cs="Times New Roman"/>
        </w:rPr>
        <w:t>r</w:t>
      </w:r>
      <w:r w:rsidRPr="00B203F4">
        <w:rPr>
          <w:rFonts w:cs="Times New Roman"/>
        </w:rPr>
        <w:t>dentlichen Kündigung ist grundsätzlich mö</w:t>
      </w:r>
      <w:r w:rsidRPr="00B203F4">
        <w:rPr>
          <w:rFonts w:cs="Times New Roman"/>
        </w:rPr>
        <w:t>g</w:t>
      </w:r>
      <w:r>
        <w:rPr>
          <w:rFonts w:cs="Times New Roman"/>
        </w:rPr>
        <w:t>lich. D</w:t>
      </w:r>
      <w:r w:rsidRPr="00B203F4">
        <w:rPr>
          <w:rFonts w:cs="Times New Roman"/>
        </w:rPr>
        <w:t>er Verwender Allgemeiner Geschäft</w:t>
      </w:r>
      <w:r w:rsidRPr="00B203F4">
        <w:rPr>
          <w:rFonts w:cs="Times New Roman"/>
        </w:rPr>
        <w:t>s</w:t>
      </w:r>
      <w:r w:rsidRPr="00B203F4">
        <w:rPr>
          <w:rFonts w:cs="Times New Roman"/>
        </w:rPr>
        <w:t>bedingungen kann sich auf eine für ihn günst</w:t>
      </w:r>
      <w:r w:rsidRPr="00B203F4">
        <w:rPr>
          <w:rFonts w:cs="Times New Roman"/>
        </w:rPr>
        <w:t>i</w:t>
      </w:r>
      <w:r w:rsidRPr="00B203F4">
        <w:rPr>
          <w:rFonts w:cs="Times New Roman"/>
        </w:rPr>
        <w:t xml:space="preserve">ge Unwirksamkeit einer Klausel allerdings nicht berufen. </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Das </w:t>
      </w:r>
      <w:r w:rsidRPr="00B203F4">
        <w:rPr>
          <w:rFonts w:cs="Times New Roman"/>
          <w:b/>
        </w:rPr>
        <w:t>Landgericht Berlin</w:t>
      </w:r>
      <w:r w:rsidRPr="00B203F4">
        <w:rPr>
          <w:rFonts w:cs="Times New Roman"/>
        </w:rPr>
        <w:t xml:space="preserve"> hat mit Urteil vom 11.04.2018 entschieden, dass für die Gewä</w:t>
      </w:r>
      <w:r w:rsidRPr="00B203F4">
        <w:rPr>
          <w:rFonts w:cs="Times New Roman"/>
        </w:rPr>
        <w:t>h</w:t>
      </w:r>
      <w:r w:rsidRPr="00B203F4">
        <w:rPr>
          <w:rFonts w:cs="Times New Roman"/>
        </w:rPr>
        <w:t>rung eines Untervermietunganspruches gemäß § 553 Abs. 1 BGB die plausible Darlegung des berechtigten persönlichen oder wirtschaftl</w:t>
      </w:r>
      <w:r w:rsidRPr="00B203F4">
        <w:rPr>
          <w:rFonts w:cs="Times New Roman"/>
        </w:rPr>
        <w:t>i</w:t>
      </w:r>
      <w:r w:rsidRPr="00B203F4">
        <w:rPr>
          <w:rFonts w:cs="Times New Roman"/>
        </w:rPr>
        <w:t>chen Interesses und die Benennung von Namen und Anschrift des Untermieters ausreicht. Die Zustimmung zur Untervermietung darf nicht von weitergehenden Nachweisen der wir</w:t>
      </w:r>
      <w:r w:rsidRPr="00B203F4">
        <w:rPr>
          <w:rFonts w:cs="Times New Roman"/>
        </w:rPr>
        <w:t>t</w:t>
      </w:r>
      <w:r w:rsidRPr="00B203F4">
        <w:rPr>
          <w:rFonts w:cs="Times New Roman"/>
        </w:rPr>
        <w:t>schaftlichen Verhältnisse des Mieters abhängig gemacht werden. Der Bezug von Leistungen nach dem SGB II begründet im Einzelfall das berechtigte wirtschaftliche Interesse an der Untervermietung, um die Kosten der Unte</w:t>
      </w:r>
      <w:r w:rsidRPr="00B203F4">
        <w:rPr>
          <w:rFonts w:cs="Times New Roman"/>
        </w:rPr>
        <w:t>r</w:t>
      </w:r>
      <w:r w:rsidRPr="00B203F4">
        <w:rPr>
          <w:rFonts w:cs="Times New Roman"/>
        </w:rPr>
        <w:t xml:space="preserve">kunft zu reduzieren. </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Das </w:t>
      </w:r>
      <w:r w:rsidRPr="00B203F4">
        <w:rPr>
          <w:rFonts w:cs="Times New Roman"/>
          <w:b/>
        </w:rPr>
        <w:t>Landgericht Berlin</w:t>
      </w:r>
      <w:r w:rsidRPr="00B203F4">
        <w:rPr>
          <w:rFonts w:cs="Times New Roman"/>
        </w:rPr>
        <w:t xml:space="preserve"> hat mit Urteil vom 01.03.2018, dem BGH widersprechend, en</w:t>
      </w:r>
      <w:r w:rsidRPr="00B203F4">
        <w:rPr>
          <w:rFonts w:cs="Times New Roman"/>
        </w:rPr>
        <w:t>t</w:t>
      </w:r>
      <w:r w:rsidRPr="00B203F4">
        <w:rPr>
          <w:rFonts w:cs="Times New Roman"/>
        </w:rPr>
        <w:t>schieden, dass der Mieter, der trotz Vorliegen eines Mangels vorbehaltlos die vollständige Miete zahlt, seine Überzahlung gemäß § 812 BGB im Umfang der gemäß § 536 BGB eing</w:t>
      </w:r>
      <w:r w:rsidRPr="00B203F4">
        <w:rPr>
          <w:rFonts w:cs="Times New Roman"/>
        </w:rPr>
        <w:t>e</w:t>
      </w:r>
      <w:r w:rsidRPr="00B203F4">
        <w:rPr>
          <w:rFonts w:cs="Times New Roman"/>
        </w:rPr>
        <w:t>tretene Mietminderung zurückfordern kann. Eine tatsächliche Vermutung, dem Mieter sei sein Recht zur Herabsetzung der Miete rege</w:t>
      </w:r>
      <w:r w:rsidRPr="00B203F4">
        <w:rPr>
          <w:rFonts w:cs="Times New Roman"/>
        </w:rPr>
        <w:t>l</w:t>
      </w:r>
      <w:r w:rsidRPr="00B203F4">
        <w:rPr>
          <w:rFonts w:cs="Times New Roman"/>
        </w:rPr>
        <w:t>mäßig in einer die Anwendung des § 814 A</w:t>
      </w:r>
      <w:r w:rsidRPr="00B203F4">
        <w:rPr>
          <w:rFonts w:cs="Times New Roman"/>
        </w:rPr>
        <w:t>l</w:t>
      </w:r>
      <w:r w:rsidRPr="00B203F4">
        <w:rPr>
          <w:rFonts w:cs="Times New Roman"/>
        </w:rPr>
        <w:t>ternative 1BGB begründenden Weise bekannt, ist nicht gerechtfertigt. Mit dieser Entsche</w:t>
      </w:r>
      <w:r w:rsidRPr="00B203F4">
        <w:rPr>
          <w:rFonts w:cs="Times New Roman"/>
        </w:rPr>
        <w:t>i</w:t>
      </w:r>
      <w:r w:rsidRPr="00B203F4">
        <w:rPr>
          <w:rFonts w:cs="Times New Roman"/>
        </w:rPr>
        <w:t>dung setzt sich das Landgericht Berlin in W</w:t>
      </w:r>
      <w:r w:rsidRPr="00B203F4">
        <w:rPr>
          <w:rFonts w:cs="Times New Roman"/>
        </w:rPr>
        <w:t>i</w:t>
      </w:r>
      <w:r w:rsidRPr="00B203F4">
        <w:rPr>
          <w:rFonts w:cs="Times New Roman"/>
        </w:rPr>
        <w:t>derspruch zu der seit 2003 geltenden BGH-Rechtsprechung.</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Mit Urteil vom 18.04.2018 hat das </w:t>
      </w:r>
      <w:r w:rsidRPr="00B203F4">
        <w:rPr>
          <w:rFonts w:cs="Times New Roman"/>
          <w:b/>
        </w:rPr>
        <w:t>Landg</w:t>
      </w:r>
      <w:r w:rsidRPr="00B203F4">
        <w:rPr>
          <w:rFonts w:cs="Times New Roman"/>
          <w:b/>
        </w:rPr>
        <w:t>e</w:t>
      </w:r>
      <w:r w:rsidRPr="00B203F4">
        <w:rPr>
          <w:rFonts w:cs="Times New Roman"/>
          <w:b/>
        </w:rPr>
        <w:t>richt Berlin</w:t>
      </w:r>
      <w:r w:rsidRPr="00B203F4">
        <w:rPr>
          <w:rFonts w:cs="Times New Roman"/>
        </w:rPr>
        <w:t xml:space="preserve"> entschieden, dass die vollständige Gebrauchsüberlassung einer Mietwohnung an im Haushalt lebende erwachsene Kinder der Mieter ohne Erlaubnis des Vermieters eine zur Kündigung des Mietverhältnisses berechtige</w:t>
      </w:r>
      <w:r w:rsidRPr="00B203F4">
        <w:rPr>
          <w:rFonts w:cs="Times New Roman"/>
        </w:rPr>
        <w:t>n</w:t>
      </w:r>
      <w:r w:rsidRPr="00B203F4">
        <w:rPr>
          <w:rFonts w:cs="Times New Roman"/>
        </w:rPr>
        <w:t>de Vertragsverletzung seitens des Mieters da</w:t>
      </w:r>
      <w:r w:rsidRPr="00B203F4">
        <w:rPr>
          <w:rFonts w:cs="Times New Roman"/>
        </w:rPr>
        <w:t>r</w:t>
      </w:r>
      <w:r w:rsidRPr="00B203F4">
        <w:rPr>
          <w:rFonts w:cs="Times New Roman"/>
        </w:rPr>
        <w:t>stellt. Im Haushalt des Mieters lebende mi</w:t>
      </w:r>
      <w:r w:rsidRPr="00B203F4">
        <w:rPr>
          <w:rFonts w:cs="Times New Roman"/>
        </w:rPr>
        <w:t>n</w:t>
      </w:r>
      <w:r w:rsidRPr="00B203F4">
        <w:rPr>
          <w:rFonts w:cs="Times New Roman"/>
        </w:rPr>
        <w:lastRenderedPageBreak/>
        <w:t>derjährige sowie auch erwachsene Kinder sind in den bestimmungsgemäßen Gebrauch der Mietsache mit einbezogen. Eine Aufnahme bedarf keiner Erlaubnis des Vermieters. Ein gesetzlicher Anspruch der Mieter auf Erteilung einer Erlaubnis durch den Vermieter zur da</w:t>
      </w:r>
      <w:r w:rsidRPr="00B203F4">
        <w:rPr>
          <w:rFonts w:cs="Times New Roman"/>
        </w:rPr>
        <w:t>u</w:t>
      </w:r>
      <w:r w:rsidRPr="00B203F4">
        <w:rPr>
          <w:rFonts w:cs="Times New Roman"/>
        </w:rPr>
        <w:t>erhaften Gebrauchsüberlassung der gesamten Wohnung ohne eigenen Rückkehrwillen b</w:t>
      </w:r>
      <w:r w:rsidRPr="00B203F4">
        <w:rPr>
          <w:rFonts w:cs="Times New Roman"/>
        </w:rPr>
        <w:t>e</w:t>
      </w:r>
      <w:r w:rsidRPr="00B203F4">
        <w:rPr>
          <w:rFonts w:cs="Times New Roman"/>
        </w:rPr>
        <w:t>steht nicht.</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Das </w:t>
      </w:r>
      <w:r w:rsidRPr="00B203F4">
        <w:rPr>
          <w:rFonts w:cs="Times New Roman"/>
          <w:b/>
        </w:rPr>
        <w:t>OLG Rostock</w:t>
      </w:r>
      <w:r w:rsidRPr="00B203F4">
        <w:rPr>
          <w:rFonts w:cs="Times New Roman"/>
        </w:rPr>
        <w:t xml:space="preserve"> hat mit Urteil vom 17.05.2018 entschieden, d</w:t>
      </w:r>
      <w:r>
        <w:rPr>
          <w:rFonts w:cs="Times New Roman"/>
        </w:rPr>
        <w:t>ass die zum Betrieb eines Modeg</w:t>
      </w:r>
      <w:r w:rsidRPr="00B203F4">
        <w:rPr>
          <w:rFonts w:cs="Times New Roman"/>
        </w:rPr>
        <w:t>eschäfts vermieteten Räume ein Raumklima und eine Innentemperatur der Mieträume aufweisen müssen, die für den B</w:t>
      </w:r>
      <w:r w:rsidRPr="00B203F4">
        <w:rPr>
          <w:rFonts w:cs="Times New Roman"/>
        </w:rPr>
        <w:t>e</w:t>
      </w:r>
      <w:r w:rsidRPr="00B203F4">
        <w:rPr>
          <w:rFonts w:cs="Times New Roman"/>
        </w:rPr>
        <w:t>trieb eines solchen Geschäfts, indem Mitarbe</w:t>
      </w:r>
      <w:r w:rsidRPr="00B203F4">
        <w:rPr>
          <w:rFonts w:cs="Times New Roman"/>
        </w:rPr>
        <w:t>i</w:t>
      </w:r>
      <w:r w:rsidRPr="00B203F4">
        <w:rPr>
          <w:rFonts w:cs="Times New Roman"/>
        </w:rPr>
        <w:t>ter beschäftigt sind und Kunden Bekleidung</w:t>
      </w:r>
      <w:r w:rsidRPr="00B203F4">
        <w:rPr>
          <w:rFonts w:cs="Times New Roman"/>
        </w:rPr>
        <w:t>s</w:t>
      </w:r>
      <w:r>
        <w:rPr>
          <w:rFonts w:cs="Times New Roman"/>
        </w:rPr>
        <w:t>stücke auswählen und an</w:t>
      </w:r>
      <w:r w:rsidRPr="00B203F4">
        <w:rPr>
          <w:rFonts w:cs="Times New Roman"/>
        </w:rPr>
        <w:t>probieren, sowohl erforderlich als auch üblich sind. Hierzu gehört es, dass Raumtemperaturen von 26° nicht überschritten und 20° nicht unterschritten we</w:t>
      </w:r>
      <w:r w:rsidRPr="00B203F4">
        <w:rPr>
          <w:rFonts w:cs="Times New Roman"/>
        </w:rPr>
        <w:t>r</w:t>
      </w:r>
      <w:r>
        <w:rPr>
          <w:rFonts w:cs="Times New Roman"/>
        </w:rPr>
        <w:t>den.</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Der </w:t>
      </w:r>
      <w:r w:rsidRPr="00B203F4">
        <w:rPr>
          <w:rFonts w:cs="Times New Roman"/>
          <w:b/>
        </w:rPr>
        <w:t>BGH</w:t>
      </w:r>
      <w:r w:rsidRPr="00B203F4">
        <w:rPr>
          <w:rFonts w:cs="Times New Roman"/>
        </w:rPr>
        <w:t xml:space="preserve"> hat mit Urteil vom 23.03.2018 en</w:t>
      </w:r>
      <w:r w:rsidRPr="00B203F4">
        <w:rPr>
          <w:rFonts w:cs="Times New Roman"/>
        </w:rPr>
        <w:t>t</w:t>
      </w:r>
      <w:r w:rsidRPr="00B203F4">
        <w:rPr>
          <w:rFonts w:cs="Times New Roman"/>
        </w:rPr>
        <w:t>schieden, dass der Anspruch auf dauerhafte Änderung des Inhalts eines Sondernutzung</w:t>
      </w:r>
      <w:r w:rsidRPr="00B203F4">
        <w:rPr>
          <w:rFonts w:cs="Times New Roman"/>
        </w:rPr>
        <w:t>s</w:t>
      </w:r>
      <w:r w:rsidRPr="00B203F4">
        <w:rPr>
          <w:rFonts w:cs="Times New Roman"/>
        </w:rPr>
        <w:t>rechtes und die dauerhafte Aufhebung eines Sondernutzungsrechtes gegen den Willen des Sondernutzungsberechtigten nur nach § 10 Abs. 2 Satz 3 WEG herbeigeführt werden kann. Der Anspruch ist nicht die Folge von Treu und Glauben (§ 242 BGB). Der Entzug eines Sondernutzungsrechts setzt aber voraus, dass andere Möglichkeiten nicht bestehen oder fehlgeschlagen sind.</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Der </w:t>
      </w:r>
      <w:r w:rsidRPr="00B203F4">
        <w:rPr>
          <w:rFonts w:cs="Times New Roman"/>
          <w:b/>
        </w:rPr>
        <w:t>BGH</w:t>
      </w:r>
      <w:r w:rsidRPr="00B203F4">
        <w:rPr>
          <w:rFonts w:cs="Times New Roman"/>
        </w:rPr>
        <w:t xml:space="preserve"> hat mit Urteil vom 23.02.2018 en</w:t>
      </w:r>
      <w:r w:rsidRPr="00B203F4">
        <w:rPr>
          <w:rFonts w:cs="Times New Roman"/>
        </w:rPr>
        <w:t>t</w:t>
      </w:r>
      <w:r w:rsidRPr="00B203F4">
        <w:rPr>
          <w:rFonts w:cs="Times New Roman"/>
        </w:rPr>
        <w:t>schieden, dass dann, wenn Wohnungseigent</w:t>
      </w:r>
      <w:r w:rsidRPr="00B203F4">
        <w:rPr>
          <w:rFonts w:cs="Times New Roman"/>
        </w:rPr>
        <w:t>ü</w:t>
      </w:r>
      <w:r w:rsidRPr="00B203F4">
        <w:rPr>
          <w:rFonts w:cs="Times New Roman"/>
        </w:rPr>
        <w:t>mer ausnahmsweise einem Erhaltungsb</w:t>
      </w:r>
      <w:r w:rsidRPr="00B203F4">
        <w:rPr>
          <w:rFonts w:cs="Times New Roman"/>
        </w:rPr>
        <w:t>e</w:t>
      </w:r>
      <w:r w:rsidRPr="00B203F4">
        <w:rPr>
          <w:rFonts w:cs="Times New Roman"/>
        </w:rPr>
        <w:t>schluss zustimmen müssen, sie bei Verletzung dieser Pflicht nach § 280 Abs. 1 BGB haften. Ein Wohnungseigentümer hat ein pflichtwidr</w:t>
      </w:r>
      <w:r w:rsidRPr="00B203F4">
        <w:rPr>
          <w:rFonts w:cs="Times New Roman"/>
        </w:rPr>
        <w:t>i</w:t>
      </w:r>
      <w:r w:rsidRPr="00B203F4">
        <w:rPr>
          <w:rFonts w:cs="Times New Roman"/>
        </w:rPr>
        <w:t>ges Abstimmungsverhalten in einer Versam</w:t>
      </w:r>
      <w:r w:rsidRPr="00B203F4">
        <w:rPr>
          <w:rFonts w:cs="Times New Roman"/>
        </w:rPr>
        <w:t>m</w:t>
      </w:r>
      <w:r w:rsidRPr="00B203F4">
        <w:rPr>
          <w:rFonts w:cs="Times New Roman"/>
        </w:rPr>
        <w:t>lung gegenüber einem Erhaltungsbeschluss grundsätzlich nur dann zu vertreten, wenn er mit der Einberufung in hinreichend deutlicher Weise über den Instandsetzungsbedarf und seine Auswirkungen auf das Sondereigentum informiert worden ist. Etwas anderes gilt dann, wenn ihm die Umstände, die die Stimmpflicht begründen, bereits bekannt waren oder er wä</w:t>
      </w:r>
      <w:r w:rsidRPr="00B203F4">
        <w:rPr>
          <w:rFonts w:cs="Times New Roman"/>
        </w:rPr>
        <w:t>h</w:t>
      </w:r>
      <w:r w:rsidRPr="00B203F4">
        <w:rPr>
          <w:rFonts w:cs="Times New Roman"/>
        </w:rPr>
        <w:t>rend der Teilnahme an der Versammlung über diese unterrichtet wurde. Ändert ein Wo</w:t>
      </w:r>
      <w:r w:rsidRPr="00B203F4">
        <w:rPr>
          <w:rFonts w:cs="Times New Roman"/>
        </w:rPr>
        <w:t>h</w:t>
      </w:r>
      <w:r w:rsidRPr="00B203F4">
        <w:rPr>
          <w:rFonts w:cs="Times New Roman"/>
        </w:rPr>
        <w:t xml:space="preserve">nungseigentümer sein Abstimmungsverhalten und kommt er seiner Mitwirkungspflicht nach, ist der für den Schaden, der durch einen </w:t>
      </w:r>
      <w:r w:rsidRPr="00B203F4">
        <w:rPr>
          <w:rFonts w:cs="Times New Roman"/>
        </w:rPr>
        <w:lastRenderedPageBreak/>
        <w:t>gleichwohl nicht zustande gekommenen B</w:t>
      </w:r>
      <w:r w:rsidRPr="00B203F4">
        <w:rPr>
          <w:rFonts w:cs="Times New Roman"/>
        </w:rPr>
        <w:t>e</w:t>
      </w:r>
      <w:r w:rsidRPr="00B203F4">
        <w:rPr>
          <w:rFonts w:cs="Times New Roman"/>
        </w:rPr>
        <w:t>schluss über die Instandsetzung des gemei</w:t>
      </w:r>
      <w:r w:rsidRPr="00B203F4">
        <w:rPr>
          <w:rFonts w:cs="Times New Roman"/>
        </w:rPr>
        <w:t>n</w:t>
      </w:r>
      <w:r w:rsidRPr="00B203F4">
        <w:rPr>
          <w:rFonts w:cs="Times New Roman"/>
        </w:rPr>
        <w:t>schaftlichen Eigentums entsteht, nicht veran</w:t>
      </w:r>
      <w:r w:rsidRPr="00B203F4">
        <w:rPr>
          <w:rFonts w:cs="Times New Roman"/>
        </w:rPr>
        <w:t>t</w:t>
      </w:r>
      <w:r w:rsidRPr="00B203F4">
        <w:rPr>
          <w:rFonts w:cs="Times New Roman"/>
        </w:rPr>
        <w:t>wortlich. Für die Erfüllung der Mitwirkung</w:t>
      </w:r>
      <w:r w:rsidRPr="00B203F4">
        <w:rPr>
          <w:rFonts w:cs="Times New Roman"/>
        </w:rPr>
        <w:t>s</w:t>
      </w:r>
      <w:r w:rsidRPr="00B203F4">
        <w:rPr>
          <w:rFonts w:cs="Times New Roman"/>
        </w:rPr>
        <w:t>pfli</w:t>
      </w:r>
      <w:r>
        <w:rPr>
          <w:rFonts w:cs="Times New Roman"/>
        </w:rPr>
        <w:t>cht ist der Wohnungseigentümer d</w:t>
      </w:r>
      <w:r w:rsidRPr="00B203F4">
        <w:rPr>
          <w:rFonts w:cs="Times New Roman"/>
        </w:rPr>
        <w:t>arl</w:t>
      </w:r>
      <w:r w:rsidRPr="00B203F4">
        <w:rPr>
          <w:rFonts w:cs="Times New Roman"/>
        </w:rPr>
        <w:t>e</w:t>
      </w:r>
      <w:r w:rsidRPr="00B203F4">
        <w:rPr>
          <w:rFonts w:cs="Times New Roman"/>
        </w:rPr>
        <w:t xml:space="preserve">gungs- und und beweisbelastet, der zunächst pflichtwidrig gehandelt hat </w:t>
      </w:r>
      <w:r>
        <w:rPr>
          <w:rFonts w:cs="Times New Roman"/>
        </w:rPr>
        <w:t>.</w:t>
      </w:r>
    </w:p>
    <w:p w:rsidR="00B203F4" w:rsidRDefault="00B203F4" w:rsidP="009A5D8D">
      <w:pPr>
        <w:pStyle w:val="KeinLeerraum"/>
        <w:rPr>
          <w:rFonts w:cs="Times New Roman"/>
        </w:rPr>
      </w:pPr>
    </w:p>
    <w:p w:rsidR="00B203F4" w:rsidRDefault="00B203F4" w:rsidP="009A5D8D">
      <w:pPr>
        <w:pStyle w:val="KeinLeerraum"/>
        <w:rPr>
          <w:rFonts w:cs="Times New Roman"/>
        </w:rPr>
      </w:pPr>
      <w:r w:rsidRPr="00B203F4">
        <w:rPr>
          <w:rFonts w:cs="Times New Roman"/>
        </w:rPr>
        <w:t xml:space="preserve">Das </w:t>
      </w:r>
      <w:r w:rsidRPr="00B203F4">
        <w:rPr>
          <w:rFonts w:cs="Times New Roman"/>
          <w:b/>
        </w:rPr>
        <w:t>Landgericht München I</w:t>
      </w:r>
      <w:r>
        <w:rPr>
          <w:rFonts w:cs="Times New Roman"/>
        </w:rPr>
        <w:t xml:space="preserve"> </w:t>
      </w:r>
      <w:r w:rsidRPr="00B203F4">
        <w:rPr>
          <w:rFonts w:cs="Times New Roman"/>
        </w:rPr>
        <w:t>hat mit B</w:t>
      </w:r>
      <w:r w:rsidRPr="00B203F4">
        <w:rPr>
          <w:rFonts w:cs="Times New Roman"/>
        </w:rPr>
        <w:t>e</w:t>
      </w:r>
      <w:r w:rsidRPr="00B203F4">
        <w:rPr>
          <w:rFonts w:cs="Times New Roman"/>
        </w:rPr>
        <w:t>schluss vom 07.12.2017 entschieden, dass die Wohnungseigentümer auch mit naheliegenden, mit der Bezeichnung in der Einladung eng verbundenen Beschlüssen zu rechnen haben. Wird also in der Einladung die Zusammenl</w:t>
      </w:r>
      <w:r w:rsidRPr="00B203F4">
        <w:rPr>
          <w:rFonts w:cs="Times New Roman"/>
        </w:rPr>
        <w:t>e</w:t>
      </w:r>
      <w:r w:rsidRPr="00B203F4">
        <w:rPr>
          <w:rFonts w:cs="Times New Roman"/>
        </w:rPr>
        <w:t>gung dreier Müllplatzes thematisiert, ist auch mit alternativen Standorten oder der Zusa</w:t>
      </w:r>
      <w:r w:rsidRPr="00B203F4">
        <w:rPr>
          <w:rFonts w:cs="Times New Roman"/>
        </w:rPr>
        <w:t>m</w:t>
      </w:r>
      <w:r w:rsidRPr="00B203F4">
        <w:rPr>
          <w:rFonts w:cs="Times New Roman"/>
        </w:rPr>
        <w:t>menlegung von nur zwei Stellplätzen zu rec</w:t>
      </w:r>
      <w:r w:rsidRPr="00B203F4">
        <w:rPr>
          <w:rFonts w:cs="Times New Roman"/>
        </w:rPr>
        <w:t>h</w:t>
      </w:r>
      <w:r w:rsidRPr="00B203F4">
        <w:rPr>
          <w:rFonts w:cs="Times New Roman"/>
        </w:rPr>
        <w:t>nen. Die Beibehaltung eines bereits vorhand</w:t>
      </w:r>
      <w:r w:rsidRPr="00B203F4">
        <w:rPr>
          <w:rFonts w:cs="Times New Roman"/>
        </w:rPr>
        <w:t>e</w:t>
      </w:r>
      <w:r w:rsidRPr="00B203F4">
        <w:rPr>
          <w:rFonts w:cs="Times New Roman"/>
        </w:rPr>
        <w:t>nen Müllplatzes stellt keine bauliche Veränd</w:t>
      </w:r>
      <w:r w:rsidRPr="00B203F4">
        <w:rPr>
          <w:rFonts w:cs="Times New Roman"/>
        </w:rPr>
        <w:t>e</w:t>
      </w:r>
      <w:r w:rsidRPr="00B203F4">
        <w:rPr>
          <w:rFonts w:cs="Times New Roman"/>
        </w:rPr>
        <w:t xml:space="preserve">rung dar. Sie kann daher auch mit einfacher Mehrheit beschlossen werden. </w:t>
      </w:r>
    </w:p>
    <w:p w:rsidR="00B203F4" w:rsidRDefault="00B203F4" w:rsidP="009A5D8D">
      <w:pPr>
        <w:pStyle w:val="KeinLeerraum"/>
        <w:rPr>
          <w:rFonts w:cs="Times New Roman"/>
        </w:rPr>
      </w:pPr>
    </w:p>
    <w:p w:rsidR="00B203F4" w:rsidRDefault="0034564B" w:rsidP="009A5D8D">
      <w:pPr>
        <w:pStyle w:val="KeinLeerraum"/>
        <w:rPr>
          <w:rFonts w:cs="Times New Roman"/>
        </w:rPr>
      </w:pPr>
      <w:r w:rsidRPr="0034564B">
        <w:rPr>
          <w:rFonts w:cs="Times New Roman"/>
        </w:rPr>
        <w:t xml:space="preserve">Der </w:t>
      </w:r>
      <w:r w:rsidRPr="0034564B">
        <w:rPr>
          <w:rFonts w:cs="Times New Roman"/>
          <w:b/>
        </w:rPr>
        <w:t>BGH</w:t>
      </w:r>
      <w:r w:rsidRPr="0034564B">
        <w:rPr>
          <w:rFonts w:cs="Times New Roman"/>
        </w:rPr>
        <w:t xml:space="preserve"> hat mit Urteil vom 16.03.2018 en</w:t>
      </w:r>
      <w:r w:rsidRPr="0034564B">
        <w:rPr>
          <w:rFonts w:cs="Times New Roman"/>
        </w:rPr>
        <w:t>t</w:t>
      </w:r>
      <w:r w:rsidRPr="0034564B">
        <w:rPr>
          <w:rFonts w:cs="Times New Roman"/>
        </w:rPr>
        <w:t>schieden, dass die Frage, ob nach einer Ba</w:t>
      </w:r>
      <w:r w:rsidRPr="0034564B">
        <w:rPr>
          <w:rFonts w:cs="Times New Roman"/>
        </w:rPr>
        <w:t>u</w:t>
      </w:r>
      <w:r w:rsidRPr="0034564B">
        <w:rPr>
          <w:rFonts w:cs="Times New Roman"/>
        </w:rPr>
        <w:t>maßnahme im Bereich des Sondereigentums, bei der auch in das gemeinschaftliche Eige</w:t>
      </w:r>
      <w:r w:rsidRPr="0034564B">
        <w:rPr>
          <w:rFonts w:cs="Times New Roman"/>
        </w:rPr>
        <w:t>n</w:t>
      </w:r>
      <w:r w:rsidRPr="0034564B">
        <w:rPr>
          <w:rFonts w:cs="Times New Roman"/>
        </w:rPr>
        <w:t>tum eingegriffen worden ist, die im Zeitpunkt der Baumaßnahmen geltenden Anforderungen an den Schallschutz einzuhalten sind, sich nach dem Gewicht des Eingriffs in die Gebäudesu</w:t>
      </w:r>
      <w:r w:rsidRPr="0034564B">
        <w:rPr>
          <w:rFonts w:cs="Times New Roman"/>
        </w:rPr>
        <w:t>b</w:t>
      </w:r>
      <w:r w:rsidRPr="0034564B">
        <w:rPr>
          <w:rFonts w:cs="Times New Roman"/>
        </w:rPr>
        <w:t>stanz bestimmt. Nur durch grundlegende Um- oder Ausbau wie etwa ein Dachgeschossau</w:t>
      </w:r>
      <w:r w:rsidRPr="0034564B">
        <w:rPr>
          <w:rFonts w:cs="Times New Roman"/>
        </w:rPr>
        <w:t>s</w:t>
      </w:r>
      <w:r w:rsidRPr="0034564B">
        <w:rPr>
          <w:rFonts w:cs="Times New Roman"/>
        </w:rPr>
        <w:t>bau begründen eine Pflicht zur Beachtung der aktuellen technischen Anforderungen an den Schallschutz; dagegen kann bei Sanierung</w:t>
      </w:r>
      <w:r w:rsidRPr="0034564B">
        <w:rPr>
          <w:rFonts w:cs="Times New Roman"/>
        </w:rPr>
        <w:t>s</w:t>
      </w:r>
      <w:r w:rsidRPr="0034564B">
        <w:rPr>
          <w:rFonts w:cs="Times New Roman"/>
        </w:rPr>
        <w:t>maßnahmen, die der üblichen Instandsetzung oder (gegebenenfalls zugleich) der Modernisi</w:t>
      </w:r>
      <w:r w:rsidRPr="0034564B">
        <w:rPr>
          <w:rFonts w:cs="Times New Roman"/>
        </w:rPr>
        <w:t>e</w:t>
      </w:r>
      <w:r w:rsidRPr="0034564B">
        <w:rPr>
          <w:rFonts w:cs="Times New Roman"/>
        </w:rPr>
        <w:t>rung des Sondereigentums dienen, ein verbe</w:t>
      </w:r>
      <w:r w:rsidRPr="0034564B">
        <w:rPr>
          <w:rFonts w:cs="Times New Roman"/>
        </w:rPr>
        <w:t>s</w:t>
      </w:r>
      <w:r w:rsidRPr="0034564B">
        <w:rPr>
          <w:rFonts w:cs="Times New Roman"/>
        </w:rPr>
        <w:t>sertes Schallschutzniveau im Grundsatz nicht beansprucht werden. Rechtlicher Maßstab für die zwischen den Wohnungseigentümern hi</w:t>
      </w:r>
      <w:r w:rsidRPr="0034564B">
        <w:rPr>
          <w:rFonts w:cs="Times New Roman"/>
        </w:rPr>
        <w:t>n</w:t>
      </w:r>
      <w:r w:rsidRPr="0034564B">
        <w:rPr>
          <w:rFonts w:cs="Times New Roman"/>
        </w:rPr>
        <w:t>sichtlich des Schallschutzes bestehenden Pflichten ist § 14 Nr. 1 WEG, wonach jeder Wohnungseigentümer verpflichtet ist, von den in seinem Sondereigentum stehenden Gebä</w:t>
      </w:r>
      <w:r w:rsidRPr="0034564B">
        <w:rPr>
          <w:rFonts w:cs="Times New Roman"/>
        </w:rPr>
        <w:t>u</w:t>
      </w:r>
      <w:r w:rsidRPr="0034564B">
        <w:rPr>
          <w:rFonts w:cs="Times New Roman"/>
        </w:rPr>
        <w:t>deteilen sowie von dem gemeinschaftlichen Eigentum nur in solcher Weise Gebrauch zu machen, dass dadurch keinem der anderen Wohnungseigentümer über das bei einem g</w:t>
      </w:r>
      <w:r w:rsidRPr="0034564B">
        <w:rPr>
          <w:rFonts w:cs="Times New Roman"/>
        </w:rPr>
        <w:t>e</w:t>
      </w:r>
      <w:r w:rsidRPr="0034564B">
        <w:rPr>
          <w:rFonts w:cs="Times New Roman"/>
        </w:rPr>
        <w:t>ordneten Zusammenleben unvermeidliche Maß hinaus ein Nachteil erwächst. Diese Besti</w:t>
      </w:r>
      <w:r w:rsidRPr="0034564B">
        <w:rPr>
          <w:rFonts w:cs="Times New Roman"/>
        </w:rPr>
        <w:t>m</w:t>
      </w:r>
      <w:r w:rsidRPr="0034564B">
        <w:rPr>
          <w:rFonts w:cs="Times New Roman"/>
        </w:rPr>
        <w:t>mung, die auch bei den Schallschutz beeinflu</w:t>
      </w:r>
      <w:r w:rsidRPr="0034564B">
        <w:rPr>
          <w:rFonts w:cs="Times New Roman"/>
        </w:rPr>
        <w:t>s</w:t>
      </w:r>
      <w:r w:rsidRPr="0034564B">
        <w:rPr>
          <w:rFonts w:cs="Times New Roman"/>
        </w:rPr>
        <w:t>senden Veränderungen des Sondereigentums maßgeblich ist, ist hier aufgrund der in § 22 Abs. 1 WEG enthaltenen Verweisung anz</w:t>
      </w:r>
      <w:r w:rsidRPr="0034564B">
        <w:rPr>
          <w:rFonts w:cs="Times New Roman"/>
        </w:rPr>
        <w:t>u</w:t>
      </w:r>
      <w:r w:rsidRPr="0034564B">
        <w:rPr>
          <w:rFonts w:cs="Times New Roman"/>
        </w:rPr>
        <w:t xml:space="preserve">wenden. </w:t>
      </w:r>
    </w:p>
    <w:p w:rsidR="00107AE4" w:rsidRDefault="00256516" w:rsidP="009A5D8D">
      <w:pPr>
        <w:pStyle w:val="KeinLeerraum"/>
        <w:rPr>
          <w:rFonts w:cs="Times New Roman"/>
        </w:rPr>
      </w:pPr>
      <w:r w:rsidRPr="00256516">
        <w:rPr>
          <w:rFonts w:cs="Times New Roman"/>
        </w:rPr>
        <w:lastRenderedPageBreak/>
        <w:t xml:space="preserve">Das </w:t>
      </w:r>
      <w:r w:rsidRPr="00256516">
        <w:rPr>
          <w:rFonts w:cs="Times New Roman"/>
          <w:b/>
        </w:rPr>
        <w:t>Oberlandesgericht Koblenz</w:t>
      </w:r>
      <w:r w:rsidRPr="00256516">
        <w:rPr>
          <w:rFonts w:cs="Times New Roman"/>
        </w:rPr>
        <w:t xml:space="preserve"> hat mit U</w:t>
      </w:r>
      <w:r w:rsidRPr="00256516">
        <w:rPr>
          <w:rFonts w:cs="Times New Roman"/>
        </w:rPr>
        <w:t>r</w:t>
      </w:r>
      <w:r w:rsidRPr="00256516">
        <w:rPr>
          <w:rFonts w:cs="Times New Roman"/>
        </w:rPr>
        <w:t>teil vom 25.04.2018 zum Umfang des mietve</w:t>
      </w:r>
      <w:r w:rsidRPr="00256516">
        <w:rPr>
          <w:rFonts w:cs="Times New Roman"/>
        </w:rPr>
        <w:t>r</w:t>
      </w:r>
      <w:r w:rsidRPr="00256516">
        <w:rPr>
          <w:rFonts w:cs="Times New Roman"/>
        </w:rPr>
        <w:t>traglichen Konkurrenzschutzes Stellung g</w:t>
      </w:r>
      <w:r w:rsidRPr="00256516">
        <w:rPr>
          <w:rFonts w:cs="Times New Roman"/>
        </w:rPr>
        <w:t>e</w:t>
      </w:r>
      <w:r w:rsidRPr="00256516">
        <w:rPr>
          <w:rFonts w:cs="Times New Roman"/>
        </w:rPr>
        <w:t>nommen. Vorliegend wurde bezüglich einer Eisdi</w:t>
      </w:r>
      <w:r w:rsidRPr="00256516">
        <w:rPr>
          <w:rFonts w:cs="Times New Roman"/>
        </w:rPr>
        <w:t>e</w:t>
      </w:r>
      <w:r w:rsidRPr="00256516">
        <w:rPr>
          <w:rFonts w:cs="Times New Roman"/>
        </w:rPr>
        <w:t>le dieser hinsichtlich eines türkischen Spezial</w:t>
      </w:r>
      <w:r w:rsidRPr="00256516">
        <w:rPr>
          <w:rFonts w:cs="Times New Roman"/>
        </w:rPr>
        <w:t>i</w:t>
      </w:r>
      <w:r w:rsidRPr="00256516">
        <w:rPr>
          <w:rFonts w:cs="Times New Roman"/>
        </w:rPr>
        <w:t>tätengeschäftes mit einem Bistro im Eingang</w:t>
      </w:r>
      <w:r w:rsidRPr="00256516">
        <w:rPr>
          <w:rFonts w:cs="Times New Roman"/>
        </w:rPr>
        <w:t>s</w:t>
      </w:r>
      <w:r w:rsidRPr="00256516">
        <w:rPr>
          <w:rFonts w:cs="Times New Roman"/>
        </w:rPr>
        <w:t>bereich mit dem Angebot von Kaffee, Kuchen, Snacks,, Crepes, kalten Getränken und anderen Waren bejaht. Ein vergleichbares Warenang</w:t>
      </w:r>
      <w:r w:rsidRPr="00256516">
        <w:rPr>
          <w:rFonts w:cs="Times New Roman"/>
        </w:rPr>
        <w:t>e</w:t>
      </w:r>
      <w:r w:rsidRPr="00256516">
        <w:rPr>
          <w:rFonts w:cs="Times New Roman"/>
        </w:rPr>
        <w:t>bot, dass sich auch an dieselben Verbraucher- bzw. Kundengruppen richtet, verletzt einen diesbezüglich gewährten Ko</w:t>
      </w:r>
      <w:r w:rsidRPr="00256516">
        <w:rPr>
          <w:rFonts w:cs="Times New Roman"/>
        </w:rPr>
        <w:t>n</w:t>
      </w:r>
      <w:r w:rsidRPr="00256516">
        <w:rPr>
          <w:rFonts w:cs="Times New Roman"/>
        </w:rPr>
        <w:t>kurrenzschutz. Der Konkurrenzschutz einer Eisdiele b</w:t>
      </w:r>
      <w:r w:rsidRPr="00256516">
        <w:rPr>
          <w:rFonts w:cs="Times New Roman"/>
        </w:rPr>
        <w:t>e</w:t>
      </w:r>
      <w:r w:rsidRPr="00256516">
        <w:rPr>
          <w:rFonts w:cs="Times New Roman"/>
        </w:rPr>
        <w:t>schränkt sic</w:t>
      </w:r>
      <w:bookmarkStart w:id="0" w:name="_GoBack"/>
      <w:bookmarkEnd w:id="0"/>
      <w:r w:rsidRPr="00256516">
        <w:rPr>
          <w:rFonts w:cs="Times New Roman"/>
        </w:rPr>
        <w:t>h grundsätzlich nicht nur auf das Produkt Eis. Das Leistungsangebot des b</w:t>
      </w:r>
      <w:r w:rsidRPr="00256516">
        <w:rPr>
          <w:rFonts w:cs="Times New Roman"/>
        </w:rPr>
        <w:t>e</w:t>
      </w:r>
      <w:r w:rsidRPr="00256516">
        <w:rPr>
          <w:rFonts w:cs="Times New Roman"/>
        </w:rPr>
        <w:t>nachbarten Bistros verdeutlich auch, dass dieses der Erwartungshaltung eines Ko</w:t>
      </w:r>
      <w:r w:rsidRPr="00256516">
        <w:rPr>
          <w:rFonts w:cs="Times New Roman"/>
        </w:rPr>
        <w:t>n</w:t>
      </w:r>
      <w:r w:rsidRPr="00256516">
        <w:rPr>
          <w:rFonts w:cs="Times New Roman"/>
        </w:rPr>
        <w:t>sumenten an eine Eisdiele bzw. ein Eiscafé entspricht. Insofern überschneiden sich die angesproch</w:t>
      </w:r>
      <w:r w:rsidRPr="00256516">
        <w:rPr>
          <w:rFonts w:cs="Times New Roman"/>
        </w:rPr>
        <w:t>e</w:t>
      </w:r>
      <w:r w:rsidRPr="00256516">
        <w:rPr>
          <w:rFonts w:cs="Times New Roman"/>
        </w:rPr>
        <w:t>nen Verbrauchergruppen beider Betriebe. Dies stellt eine Verletzung des ve</w:t>
      </w:r>
      <w:r w:rsidRPr="00256516">
        <w:rPr>
          <w:rFonts w:cs="Times New Roman"/>
        </w:rPr>
        <w:t>r</w:t>
      </w:r>
      <w:r w:rsidRPr="00256516">
        <w:rPr>
          <w:rFonts w:cs="Times New Roman"/>
        </w:rPr>
        <w:t>einbarten Ko</w:t>
      </w:r>
      <w:r w:rsidRPr="00256516">
        <w:rPr>
          <w:rFonts w:cs="Times New Roman"/>
        </w:rPr>
        <w:t>n</w:t>
      </w:r>
      <w:r w:rsidRPr="00256516">
        <w:rPr>
          <w:rFonts w:cs="Times New Roman"/>
        </w:rPr>
        <w:t>kurrenzschutzes zugunsten des Eisdielenmi</w:t>
      </w:r>
      <w:r w:rsidRPr="00256516">
        <w:rPr>
          <w:rFonts w:cs="Times New Roman"/>
        </w:rPr>
        <w:t>e</w:t>
      </w:r>
      <w:r w:rsidRPr="00256516">
        <w:rPr>
          <w:rFonts w:cs="Times New Roman"/>
        </w:rPr>
        <w:t xml:space="preserve">ters dar. </w:t>
      </w:r>
    </w:p>
    <w:p w:rsidR="00107AE4" w:rsidRDefault="00107AE4" w:rsidP="009A5D8D">
      <w:pPr>
        <w:pStyle w:val="KeinLeerraum"/>
        <w:rPr>
          <w:rFonts w:cs="Times New Roman"/>
        </w:rPr>
      </w:pPr>
    </w:p>
    <w:p w:rsidR="00107AE4" w:rsidRDefault="00256516"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-62865</wp:posOffset>
                </wp:positionH>
                <wp:positionV relativeFrom="paragraph">
                  <wp:posOffset>113665</wp:posOffset>
                </wp:positionV>
                <wp:extent cx="2914650" cy="19939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390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5pt;margin-top:8.95pt;width:229.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5639D"/>
    <w:rsid w:val="0005726D"/>
    <w:rsid w:val="0006423F"/>
    <w:rsid w:val="000669C3"/>
    <w:rsid w:val="000874D5"/>
    <w:rsid w:val="00093902"/>
    <w:rsid w:val="000A7DE0"/>
    <w:rsid w:val="000B22A0"/>
    <w:rsid w:val="000C477F"/>
    <w:rsid w:val="000C6C0A"/>
    <w:rsid w:val="000E41B8"/>
    <w:rsid w:val="000F1727"/>
    <w:rsid w:val="00101E98"/>
    <w:rsid w:val="00107AE4"/>
    <w:rsid w:val="00111066"/>
    <w:rsid w:val="0011246D"/>
    <w:rsid w:val="00124835"/>
    <w:rsid w:val="00134C7F"/>
    <w:rsid w:val="001375AE"/>
    <w:rsid w:val="001745A0"/>
    <w:rsid w:val="00175CBB"/>
    <w:rsid w:val="001815DE"/>
    <w:rsid w:val="001A57EF"/>
    <w:rsid w:val="001B2F23"/>
    <w:rsid w:val="001B6576"/>
    <w:rsid w:val="001C1780"/>
    <w:rsid w:val="001E1622"/>
    <w:rsid w:val="001E5925"/>
    <w:rsid w:val="002004DE"/>
    <w:rsid w:val="00201A3E"/>
    <w:rsid w:val="002134DA"/>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A3D51"/>
    <w:rsid w:val="003A4136"/>
    <w:rsid w:val="003B252E"/>
    <w:rsid w:val="003B5986"/>
    <w:rsid w:val="003D006E"/>
    <w:rsid w:val="003D22CC"/>
    <w:rsid w:val="003D7858"/>
    <w:rsid w:val="003E1559"/>
    <w:rsid w:val="003E59C5"/>
    <w:rsid w:val="003F171B"/>
    <w:rsid w:val="003F79AF"/>
    <w:rsid w:val="004048FD"/>
    <w:rsid w:val="00421B19"/>
    <w:rsid w:val="00452DD5"/>
    <w:rsid w:val="00456F6B"/>
    <w:rsid w:val="00463FF8"/>
    <w:rsid w:val="004643D5"/>
    <w:rsid w:val="00466682"/>
    <w:rsid w:val="00475064"/>
    <w:rsid w:val="004853B0"/>
    <w:rsid w:val="00493550"/>
    <w:rsid w:val="004B2D14"/>
    <w:rsid w:val="004C6668"/>
    <w:rsid w:val="004E212C"/>
    <w:rsid w:val="004E2E95"/>
    <w:rsid w:val="004E5B6E"/>
    <w:rsid w:val="004F041F"/>
    <w:rsid w:val="004F0F1C"/>
    <w:rsid w:val="00504CA6"/>
    <w:rsid w:val="005226BB"/>
    <w:rsid w:val="00545294"/>
    <w:rsid w:val="00551ADB"/>
    <w:rsid w:val="00552B5C"/>
    <w:rsid w:val="00566C7E"/>
    <w:rsid w:val="005779EB"/>
    <w:rsid w:val="00577F14"/>
    <w:rsid w:val="0058003F"/>
    <w:rsid w:val="0058014E"/>
    <w:rsid w:val="00582153"/>
    <w:rsid w:val="005927E9"/>
    <w:rsid w:val="0059626E"/>
    <w:rsid w:val="005B71F4"/>
    <w:rsid w:val="005C553D"/>
    <w:rsid w:val="005D13B1"/>
    <w:rsid w:val="00605856"/>
    <w:rsid w:val="006209B9"/>
    <w:rsid w:val="006361D2"/>
    <w:rsid w:val="00680628"/>
    <w:rsid w:val="0069034D"/>
    <w:rsid w:val="006925CB"/>
    <w:rsid w:val="006C7730"/>
    <w:rsid w:val="006D5A1E"/>
    <w:rsid w:val="0075664B"/>
    <w:rsid w:val="00761A87"/>
    <w:rsid w:val="00763C22"/>
    <w:rsid w:val="0076545E"/>
    <w:rsid w:val="00770CD4"/>
    <w:rsid w:val="00776757"/>
    <w:rsid w:val="00776EB2"/>
    <w:rsid w:val="0078104E"/>
    <w:rsid w:val="007858A6"/>
    <w:rsid w:val="007961AB"/>
    <w:rsid w:val="007A21D0"/>
    <w:rsid w:val="007B1699"/>
    <w:rsid w:val="007B4EB6"/>
    <w:rsid w:val="007D3142"/>
    <w:rsid w:val="007D431F"/>
    <w:rsid w:val="007E1245"/>
    <w:rsid w:val="007E4EC5"/>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A1505"/>
    <w:rsid w:val="008A25EE"/>
    <w:rsid w:val="008E1688"/>
    <w:rsid w:val="008F6FB7"/>
    <w:rsid w:val="00907E5D"/>
    <w:rsid w:val="009360D0"/>
    <w:rsid w:val="00941952"/>
    <w:rsid w:val="00942C61"/>
    <w:rsid w:val="00946D50"/>
    <w:rsid w:val="009578BB"/>
    <w:rsid w:val="00970543"/>
    <w:rsid w:val="00982D96"/>
    <w:rsid w:val="00983E19"/>
    <w:rsid w:val="009925EF"/>
    <w:rsid w:val="00994BA8"/>
    <w:rsid w:val="00995261"/>
    <w:rsid w:val="00996E43"/>
    <w:rsid w:val="009A334A"/>
    <w:rsid w:val="009A5D8D"/>
    <w:rsid w:val="009B62EF"/>
    <w:rsid w:val="009C1151"/>
    <w:rsid w:val="009C21B2"/>
    <w:rsid w:val="009C59AB"/>
    <w:rsid w:val="009D717F"/>
    <w:rsid w:val="009E3F68"/>
    <w:rsid w:val="00A01125"/>
    <w:rsid w:val="00A233C0"/>
    <w:rsid w:val="00A266BF"/>
    <w:rsid w:val="00A4659F"/>
    <w:rsid w:val="00A563F1"/>
    <w:rsid w:val="00A66F4F"/>
    <w:rsid w:val="00A70069"/>
    <w:rsid w:val="00A81434"/>
    <w:rsid w:val="00AA3329"/>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73DC"/>
    <w:rsid w:val="00B80D2C"/>
    <w:rsid w:val="00B91F93"/>
    <w:rsid w:val="00B97642"/>
    <w:rsid w:val="00BE7524"/>
    <w:rsid w:val="00C00761"/>
    <w:rsid w:val="00C162CD"/>
    <w:rsid w:val="00C25EE4"/>
    <w:rsid w:val="00C41029"/>
    <w:rsid w:val="00C446AF"/>
    <w:rsid w:val="00C548FB"/>
    <w:rsid w:val="00C63C81"/>
    <w:rsid w:val="00C66441"/>
    <w:rsid w:val="00C7662F"/>
    <w:rsid w:val="00C76FBB"/>
    <w:rsid w:val="00C800F2"/>
    <w:rsid w:val="00C80531"/>
    <w:rsid w:val="00C817AB"/>
    <w:rsid w:val="00C81F09"/>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28CA"/>
    <w:rsid w:val="00DD404C"/>
    <w:rsid w:val="00DE0FD1"/>
    <w:rsid w:val="00DE4F90"/>
    <w:rsid w:val="00DF083C"/>
    <w:rsid w:val="00E02823"/>
    <w:rsid w:val="00E13739"/>
    <w:rsid w:val="00E147D7"/>
    <w:rsid w:val="00E1738B"/>
    <w:rsid w:val="00E60FAD"/>
    <w:rsid w:val="00E71BCE"/>
    <w:rsid w:val="00E76E26"/>
    <w:rsid w:val="00E77BB9"/>
    <w:rsid w:val="00E80B6B"/>
    <w:rsid w:val="00EB704E"/>
    <w:rsid w:val="00EC07D9"/>
    <w:rsid w:val="00EC6CAD"/>
    <w:rsid w:val="00ED0750"/>
    <w:rsid w:val="00ED1241"/>
    <w:rsid w:val="00EE3699"/>
    <w:rsid w:val="00EF65E1"/>
    <w:rsid w:val="00F03078"/>
    <w:rsid w:val="00F04D44"/>
    <w:rsid w:val="00F123E9"/>
    <w:rsid w:val="00F2170D"/>
    <w:rsid w:val="00F55819"/>
    <w:rsid w:val="00F61F47"/>
    <w:rsid w:val="00F83B09"/>
    <w:rsid w:val="00F85A4C"/>
    <w:rsid w:val="00F95FDC"/>
    <w:rsid w:val="00FB5FDB"/>
    <w:rsid w:val="00FB7E93"/>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72232da3-d2ec-4cc1-bc84-49bf3fb573c1</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00A0-2080-4BFB-BA46-234C5AC25563}">
  <ds:schemaRefs>
    <ds:schemaRef ds:uri="http://www.datev.de/BSOffice/999929"/>
  </ds:schemaRefs>
</ds:datastoreItem>
</file>

<file path=customXml/itemProps2.xml><?xml version="1.0" encoding="utf-8"?>
<ds:datastoreItem xmlns:ds="http://schemas.openxmlformats.org/officeDocument/2006/customXml" ds:itemID="{478E5C7D-7934-486F-B247-2A7838EB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2013-12-05T15:57:00Z</cp:lastPrinted>
  <dcterms:created xsi:type="dcterms:W3CDTF">2018-06-07T14:15:00Z</dcterms:created>
  <dcterms:modified xsi:type="dcterms:W3CDTF">2018-07-12T06:52:00Z</dcterms:modified>
</cp:coreProperties>
</file>