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A0" w:rsidRDefault="001745A0" w:rsidP="006D5A1E">
      <w:pPr>
        <w:pStyle w:val="KeinLeerraum"/>
      </w:pPr>
      <w:r w:rsidRPr="00421B19">
        <w:rPr>
          <w:noProof/>
          <w:lang w:eastAsia="de-DE"/>
        </w:rPr>
        <mc:AlternateContent>
          <mc:Choice Requires="wps">
            <w:drawing>
              <wp:anchor distT="0" distB="0" distL="114300" distR="114300" simplePos="0" relativeHeight="251659264" behindDoc="0" locked="0" layoutInCell="1" allowOverlap="1" wp14:anchorId="5C01AB30" wp14:editId="4711403B">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F85A4C">
                              <w:rPr>
                                <w:b/>
                                <w:sz w:val="28"/>
                              </w:rPr>
                              <w:t>Mai</w:t>
                            </w:r>
                            <w:r w:rsidR="00FE0107">
                              <w:rPr>
                                <w:b/>
                                <w:sz w:val="2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F85A4C">
                        <w:rPr>
                          <w:b/>
                          <w:sz w:val="28"/>
                        </w:rPr>
                        <w:t>Mai</w:t>
                      </w:r>
                      <w:r w:rsidR="00FE0107">
                        <w:rPr>
                          <w:b/>
                          <w:sz w:val="28"/>
                        </w:rPr>
                        <w:t xml:space="preserve"> 2018</w:t>
                      </w:r>
                    </w:p>
                  </w:txbxContent>
                </v:textbox>
              </v:shape>
            </w:pict>
          </mc:Fallback>
        </mc:AlternateContent>
      </w: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bookmarkStart w:id="0" w:name="_GoBack"/>
      <w:bookmarkEnd w:id="0"/>
    </w:p>
    <w:p w:rsidR="001745A0" w:rsidRDefault="00264863" w:rsidP="006D5A1E">
      <w:pPr>
        <w:pStyle w:val="KeinLeerraum"/>
      </w:pPr>
      <w:r w:rsidRPr="00264863">
        <w:t xml:space="preserve">Der </w:t>
      </w:r>
      <w:r w:rsidRPr="00264863">
        <w:rPr>
          <w:b/>
        </w:rPr>
        <w:t>BGH</w:t>
      </w:r>
      <w:r w:rsidRPr="00264863">
        <w:t xml:space="preserve"> hat mit Urteil vom 23.03.2018 en</w:t>
      </w:r>
      <w:r w:rsidRPr="00264863">
        <w:t>t</w:t>
      </w:r>
      <w:r>
        <w:t>schieden, dass Teile</w:t>
      </w:r>
      <w:r w:rsidRPr="00264863">
        <w:t>igentümer eines au</w:t>
      </w:r>
      <w:r w:rsidRPr="00264863">
        <w:t>s</w:t>
      </w:r>
      <w:r w:rsidRPr="00264863">
        <w:t>schließlich beruflichen und gewerblichen Zw</w:t>
      </w:r>
      <w:r w:rsidRPr="00264863">
        <w:t>e</w:t>
      </w:r>
      <w:r w:rsidRPr="00264863">
        <w:t>cken dienenden Gebäudes (hier Ärztehaus) verlangen können, dass ein Teileigentümer, der seine früher als Arztpraxis genutzte Einheit nun als Wohnraum vermietet, dies unterlässt. Selbst wenn ein Anpassungsanspruch nach § 10 Abs. 2 Satz 3 WEG in Betracht komme, könne dieser nicht im Wege der Einrede gegen den Unterlassungsanspruch geltend gemacht werden, sondern müsse klageweise durchg</w:t>
      </w:r>
      <w:r w:rsidRPr="00264863">
        <w:t>e</w:t>
      </w:r>
      <w:r w:rsidRPr="00264863">
        <w:t>setzt werden. In einem solchen Gebäude sei die Wohnnutzung bei typisierender Betrachtung regelmäßig schon deshalb störender als die vorgesehene Nutzu</w:t>
      </w:r>
      <w:r>
        <w:t>ng, weil sie mit typischen Wohnimmissionen (Kücheng</w:t>
      </w:r>
      <w:r w:rsidRPr="00264863">
        <w:t>erüche, Freizeit- und Kinderlärm oder Musik) sowie einem a</w:t>
      </w:r>
      <w:r w:rsidRPr="00264863">
        <w:t>n</w:t>
      </w:r>
      <w:r w:rsidRPr="00264863">
        <w:t>deren Gebrauch des Gemeinschaftseigentums einhergeht und zu ande</w:t>
      </w:r>
      <w:r>
        <w:t>ren Zeiten erfolgt. Die Teile</w:t>
      </w:r>
      <w:r w:rsidRPr="00264863">
        <w:t>igentümer hätten ein berechtigtes Intere</w:t>
      </w:r>
      <w:r w:rsidRPr="00264863">
        <w:t>s</w:t>
      </w:r>
      <w:r w:rsidRPr="00264863">
        <w:t>se daran, dass der professionelle Charakter einer derartigen Anlage erhalten bleibt, um Konflikte, die durch eine in der Teilungserkl</w:t>
      </w:r>
      <w:r w:rsidRPr="00264863">
        <w:t>ä</w:t>
      </w:r>
      <w:r w:rsidRPr="00264863">
        <w:t>rung nicht angelegte gemischte Nutzung he</w:t>
      </w:r>
      <w:r w:rsidRPr="00264863">
        <w:t>r</w:t>
      </w:r>
      <w:r w:rsidRPr="00264863">
        <w:t xml:space="preserve">vorgerufen werden können, von vornherein zu vermeiden </w:t>
      </w:r>
      <w:r>
        <w:t>.</w:t>
      </w:r>
    </w:p>
    <w:p w:rsidR="00386426" w:rsidRDefault="00386426" w:rsidP="006D5A1E">
      <w:pPr>
        <w:pStyle w:val="KeinLeerraum"/>
      </w:pPr>
    </w:p>
    <w:p w:rsidR="00386426" w:rsidRDefault="00386426" w:rsidP="006D5A1E">
      <w:pPr>
        <w:pStyle w:val="KeinLeerraum"/>
      </w:pPr>
      <w:r w:rsidRPr="00386426">
        <w:t xml:space="preserve">Der </w:t>
      </w:r>
      <w:r w:rsidRPr="00386426">
        <w:rPr>
          <w:b/>
        </w:rPr>
        <w:t>BGH</w:t>
      </w:r>
      <w:r w:rsidRPr="00386426">
        <w:t xml:space="preserve"> hat mit Beschluss vom 30.01.2018 entschieden, dass die Zustimmungserklärung zu einer Mieterhöhung nach § 558b Abs. 1 BGB formlos möglich ist. Sie kann deshalb nach allgemeinen Grundsätzen auch konkl</w:t>
      </w:r>
      <w:r w:rsidRPr="00386426">
        <w:t>u</w:t>
      </w:r>
      <w:r w:rsidRPr="00386426">
        <w:t>dent, insbesondere durch Zahlung der erhöhten Miete erklärt werden. Eine 3-malige Zahlung der erhöhten Miete kann als konkludente Z</w:t>
      </w:r>
      <w:r w:rsidRPr="00386426">
        <w:t>u</w:t>
      </w:r>
      <w:r w:rsidRPr="00386426">
        <w:t>stimmung zur Mieterhöhung gewertet werden.</w:t>
      </w:r>
      <w:r>
        <w:t xml:space="preserve"> </w:t>
      </w:r>
      <w:r w:rsidRPr="00386426">
        <w:t xml:space="preserve">Kein Erhöhungsvertrag kommt zustande, wenn der Mieter unter Vorbehalt zahlt. Entscheiden muss immer der Tatrichter im Einzelfall unter Berücksichtigung sämtlicher Umstände. </w:t>
      </w:r>
    </w:p>
    <w:p w:rsidR="00386426" w:rsidRDefault="00386426" w:rsidP="006D5A1E">
      <w:pPr>
        <w:pStyle w:val="KeinLeerraum"/>
      </w:pPr>
    </w:p>
    <w:p w:rsidR="00386426" w:rsidRDefault="00386426" w:rsidP="006D5A1E">
      <w:pPr>
        <w:pStyle w:val="KeinLeerraum"/>
      </w:pPr>
      <w:r w:rsidRPr="00386426">
        <w:t xml:space="preserve">Das </w:t>
      </w:r>
      <w:r w:rsidRPr="00386426">
        <w:rPr>
          <w:b/>
        </w:rPr>
        <w:t>OLG Dresden</w:t>
      </w:r>
      <w:r w:rsidRPr="00386426">
        <w:t xml:space="preserve"> hat mit Urteil vom 14.06.2017 entschieden, dass jede nicht durch einen gerichtlichen Titel gedeckte eigenmäc</w:t>
      </w:r>
      <w:r w:rsidRPr="00386426">
        <w:t>h</w:t>
      </w:r>
      <w:r w:rsidRPr="00386426">
        <w:t>tige Inbesitznahme von Räumlichkeiten und deren eigenmächtiges Ausräumen durch den Vermieter jedenfalls solange der Mieter seinen an den Räumen bestehenden Besitz nicht e</w:t>
      </w:r>
      <w:r w:rsidRPr="00386426">
        <w:t>r</w:t>
      </w:r>
      <w:r w:rsidRPr="00386426">
        <w:t>kennbar aufgegeben hat, eine verbotene E</w:t>
      </w:r>
      <w:r w:rsidRPr="00386426">
        <w:t>i</w:t>
      </w:r>
      <w:r w:rsidRPr="00386426">
        <w:t>genmacht i. S. v. § 858 Abs. 1 BGB und z</w:t>
      </w:r>
      <w:r w:rsidRPr="00386426">
        <w:t>u</w:t>
      </w:r>
      <w:r w:rsidRPr="00386426">
        <w:lastRenderedPageBreak/>
        <w:t xml:space="preserve">gleich eine unerlaubte Selbsthilfe i. S. v. § 229 BGB ist, für deren Folgen der Vermieter nach § 231 BGB haftet. </w:t>
      </w:r>
    </w:p>
    <w:p w:rsidR="00386426" w:rsidRDefault="00386426" w:rsidP="006D5A1E">
      <w:pPr>
        <w:pStyle w:val="KeinLeerraum"/>
      </w:pPr>
    </w:p>
    <w:p w:rsidR="00386426" w:rsidRDefault="00023589" w:rsidP="006D5A1E">
      <w:pPr>
        <w:pStyle w:val="KeinLeerraum"/>
      </w:pPr>
      <w:r w:rsidRPr="00023589">
        <w:t xml:space="preserve">Das </w:t>
      </w:r>
      <w:r w:rsidRPr="00023589">
        <w:rPr>
          <w:b/>
        </w:rPr>
        <w:t>Landgericht Dortmund</w:t>
      </w:r>
      <w:r w:rsidRPr="00023589">
        <w:t xml:space="preserve"> hat mit Urteil vom 10.10.2017 Folgendes entschieden: Wird auf einer Fläche</w:t>
      </w:r>
      <w:r>
        <w:t xml:space="preserve"> des Gemeinschaftseigentums un</w:t>
      </w:r>
      <w:r w:rsidRPr="00023589">
        <w:t>zulässiger Weise geparkt, kann ein Eige</w:t>
      </w:r>
      <w:r w:rsidRPr="00023589">
        <w:t>n</w:t>
      </w:r>
      <w:r w:rsidRPr="00023589">
        <w:t>tümer direkt auf Unterlassung klagen, ohne zuvor versuchen zu müssen, einen entspr</w:t>
      </w:r>
      <w:r w:rsidRPr="00023589">
        <w:t>e</w:t>
      </w:r>
      <w:r w:rsidRPr="00023589">
        <w:t>chenden Unterlassungsb</w:t>
      </w:r>
      <w:r>
        <w:t>eschluss</w:t>
      </w:r>
      <w:r w:rsidRPr="00023589">
        <w:t xml:space="preserve"> der Eigent</w:t>
      </w:r>
      <w:r w:rsidRPr="00023589">
        <w:t>ü</w:t>
      </w:r>
      <w:r w:rsidRPr="00023589">
        <w:t>mer herbeizuführen. Die zulässige Nutzung von gemeinschaftlichem Eigentum bestimmt sich nach der Zweckbestimmung und unte</w:t>
      </w:r>
      <w:r w:rsidRPr="00023589">
        <w:t>r</w:t>
      </w:r>
      <w:r w:rsidRPr="00023589">
        <w:t>liegt den Schranken des Rücksichtnahmegeb</w:t>
      </w:r>
      <w:r w:rsidRPr="00023589">
        <w:t>o</w:t>
      </w:r>
      <w:r w:rsidRPr="00023589">
        <w:t>tes. Ist in der Teilungserklärung eine Fläche als Einfahrt gekennzeichnet, so darf sie</w:t>
      </w:r>
      <w:r>
        <w:t xml:space="preserve"> befahren und zu kurzzeitigen Be</w:t>
      </w:r>
      <w:r w:rsidRPr="00023589">
        <w:t>- und Entladen genutzt we</w:t>
      </w:r>
      <w:r>
        <w:t>rden, nicht hingegen zum Parken.</w:t>
      </w:r>
    </w:p>
    <w:p w:rsidR="00023589" w:rsidRDefault="00023589" w:rsidP="006D5A1E">
      <w:pPr>
        <w:pStyle w:val="KeinLeerraum"/>
      </w:pPr>
    </w:p>
    <w:p w:rsidR="00023589" w:rsidRDefault="00023589" w:rsidP="006D5A1E">
      <w:pPr>
        <w:pStyle w:val="KeinLeerraum"/>
      </w:pPr>
      <w:r w:rsidRPr="00023589">
        <w:t xml:space="preserve">Das </w:t>
      </w:r>
      <w:r w:rsidRPr="00023589">
        <w:rPr>
          <w:b/>
        </w:rPr>
        <w:t>Landgericht Hamburg</w:t>
      </w:r>
      <w:r w:rsidRPr="00023589">
        <w:t xml:space="preserve"> hat mit Urteil vom 13.09.2017 entschieden, dass dann, wenn der Verwalter unberechtigte Ausgaben getätigt hat, die Sondereigentum oder Sondernutzung</w:t>
      </w:r>
      <w:r w:rsidRPr="00023589">
        <w:t>s</w:t>
      </w:r>
      <w:r w:rsidRPr="00023589">
        <w:t>recht in betreffen, diese in den Einzelabrec</w:t>
      </w:r>
      <w:r w:rsidRPr="00023589">
        <w:t>h</w:t>
      </w:r>
      <w:r w:rsidRPr="00023589">
        <w:t>nungen auf die Wohnungseigentümer umgelegt werden können, deren Sondereigentum bzw. Sondernutzungsfläche betroffen ist, wenn die Zuordnung der Ausgaben und zweifelhaft ist. Soweit jedoch berechtigte Zweifel an der g</w:t>
      </w:r>
      <w:r w:rsidRPr="00023589">
        <w:t>e</w:t>
      </w:r>
      <w:r w:rsidRPr="00023589">
        <w:t>sonderten Kostentragungspflicht einzelner Miteigentümer bestehen, können Ausgaben, die möglicherweise keine gemeinschaftlichen Kosten darstellen, nach dem allgemeinen Ve</w:t>
      </w:r>
      <w:r w:rsidRPr="00023589">
        <w:t>r</w:t>
      </w:r>
      <w:r w:rsidRPr="00023589">
        <w:t xml:space="preserve">teilungsschlüssel umgelegt werden. </w:t>
      </w:r>
    </w:p>
    <w:p w:rsidR="00ED1241" w:rsidRDefault="00ED1241" w:rsidP="009A5D8D">
      <w:pPr>
        <w:pStyle w:val="KeinLeerraum"/>
        <w:rPr>
          <w:rFonts w:cs="Times New Roman"/>
        </w:rPr>
      </w:pPr>
    </w:p>
    <w:p w:rsidR="00023589" w:rsidRDefault="00023589" w:rsidP="009A5D8D">
      <w:pPr>
        <w:pStyle w:val="KeinLeerraum"/>
        <w:rPr>
          <w:rFonts w:cs="Times New Roman"/>
        </w:rPr>
      </w:pPr>
      <w:r w:rsidRPr="00023589">
        <w:rPr>
          <w:rFonts w:cs="Times New Roman"/>
        </w:rPr>
        <w:t xml:space="preserve">Der </w:t>
      </w:r>
      <w:r w:rsidRPr="00023589">
        <w:rPr>
          <w:rFonts w:cs="Times New Roman"/>
          <w:b/>
        </w:rPr>
        <w:t>BGH</w:t>
      </w:r>
      <w:r w:rsidRPr="00023589">
        <w:rPr>
          <w:rFonts w:cs="Times New Roman"/>
        </w:rPr>
        <w:t xml:space="preserve"> hat mit Urteil vom 20.10.2017 en</w:t>
      </w:r>
      <w:r w:rsidRPr="00023589">
        <w:rPr>
          <w:rFonts w:cs="Times New Roman"/>
        </w:rPr>
        <w:t>t</w:t>
      </w:r>
      <w:r w:rsidRPr="00023589">
        <w:rPr>
          <w:rFonts w:cs="Times New Roman"/>
        </w:rPr>
        <w:t>schieden, dass das Erscheinungsbild einer Grenzeinrichtung Bestandteil ihrer Zweckb</w:t>
      </w:r>
      <w:r w:rsidRPr="00023589">
        <w:rPr>
          <w:rFonts w:cs="Times New Roman"/>
        </w:rPr>
        <w:t>e</w:t>
      </w:r>
      <w:r w:rsidRPr="00023589">
        <w:rPr>
          <w:rFonts w:cs="Times New Roman"/>
        </w:rPr>
        <w:t>stimmung ist und von der ihr immanenten Ausgleichsfunktion zwischen den Interessen der Grundstücksnachbarn nicht getrennt we</w:t>
      </w:r>
      <w:r w:rsidRPr="00023589">
        <w:rPr>
          <w:rFonts w:cs="Times New Roman"/>
        </w:rPr>
        <w:t>r</w:t>
      </w:r>
      <w:r w:rsidRPr="00023589">
        <w:rPr>
          <w:rFonts w:cs="Times New Roman"/>
        </w:rPr>
        <w:t>den kann. Es kann daher ohne Zustimmung des Nachbarn nicht geändert werden. Ein M</w:t>
      </w:r>
      <w:r w:rsidRPr="00023589">
        <w:rPr>
          <w:rFonts w:cs="Times New Roman"/>
        </w:rPr>
        <w:t>a</w:t>
      </w:r>
      <w:r w:rsidRPr="00023589">
        <w:rPr>
          <w:rFonts w:cs="Times New Roman"/>
        </w:rPr>
        <w:t>schendrahtzaun als Grenzeinrichtung darf ohne Zustimmung daher nicht verdeckt werden. Haben sich Grundstücksnachbarn für eine b</w:t>
      </w:r>
      <w:r w:rsidRPr="00023589">
        <w:rPr>
          <w:rFonts w:cs="Times New Roman"/>
        </w:rPr>
        <w:t>e</w:t>
      </w:r>
      <w:r w:rsidRPr="00023589">
        <w:rPr>
          <w:rFonts w:cs="Times New Roman"/>
        </w:rPr>
        <w:t xml:space="preserve">stimmte Grenzeinrichtung entschieden, kann jeder Nachbar die Erhaltung auch der </w:t>
      </w:r>
      <w:r>
        <w:rPr>
          <w:rFonts w:cs="Times New Roman"/>
        </w:rPr>
        <w:t>äußeren</w:t>
      </w:r>
      <w:r w:rsidRPr="00023589">
        <w:rPr>
          <w:rFonts w:cs="Times New Roman"/>
        </w:rPr>
        <w:t xml:space="preserve"> Beschaffenheit und des Erscheinungsbildes verlangen. Selbst die Tatsache, dass früher einmal Schilfmatten am Drahtzaun befestigt waren, ändert nach Auffassung der Karlsruher Richter am Anspruch auf Beseitigung nichts. Dies stellt allenfalls eine Duldung der äußeren Veränderung dar, nicht jedoch eine Zusti</w:t>
      </w:r>
      <w:r w:rsidRPr="00023589">
        <w:rPr>
          <w:rFonts w:cs="Times New Roman"/>
        </w:rPr>
        <w:t>m</w:t>
      </w:r>
      <w:r w:rsidRPr="00023589">
        <w:rPr>
          <w:rFonts w:cs="Times New Roman"/>
        </w:rPr>
        <w:lastRenderedPageBreak/>
        <w:t>mung dahingehend, dass das äußere Ersche</w:t>
      </w:r>
      <w:r w:rsidRPr="00023589">
        <w:rPr>
          <w:rFonts w:cs="Times New Roman"/>
        </w:rPr>
        <w:t>i</w:t>
      </w:r>
      <w:r w:rsidRPr="00023589">
        <w:rPr>
          <w:rFonts w:cs="Times New Roman"/>
        </w:rPr>
        <w:t xml:space="preserve">nungsbild jederzeit einseitig verändert werden darf. </w:t>
      </w:r>
    </w:p>
    <w:p w:rsidR="00023589" w:rsidRDefault="00023589" w:rsidP="009A5D8D">
      <w:pPr>
        <w:pStyle w:val="KeinLeerraum"/>
        <w:rPr>
          <w:rFonts w:cs="Times New Roman"/>
        </w:rPr>
      </w:pPr>
    </w:p>
    <w:p w:rsidR="00023589" w:rsidRDefault="003F79AF" w:rsidP="009A5D8D">
      <w:pPr>
        <w:pStyle w:val="KeinLeerraum"/>
        <w:rPr>
          <w:rFonts w:cs="Times New Roman"/>
        </w:rPr>
      </w:pPr>
      <w:r w:rsidRPr="003F79AF">
        <w:rPr>
          <w:rFonts w:cs="Times New Roman"/>
        </w:rPr>
        <w:t xml:space="preserve">Der </w:t>
      </w:r>
      <w:r w:rsidRPr="003F79AF">
        <w:rPr>
          <w:rFonts w:cs="Times New Roman"/>
          <w:b/>
        </w:rPr>
        <w:t>BGH</w:t>
      </w:r>
      <w:r w:rsidRPr="003F79AF">
        <w:rPr>
          <w:rFonts w:cs="Times New Roman"/>
        </w:rPr>
        <w:t xml:space="preserve"> hat mit Urteil vom 06.12.2017 en</w:t>
      </w:r>
      <w:r w:rsidRPr="003F79AF">
        <w:rPr>
          <w:rFonts w:cs="Times New Roman"/>
        </w:rPr>
        <w:t>t</w:t>
      </w:r>
      <w:r w:rsidRPr="003F79AF">
        <w:rPr>
          <w:rFonts w:cs="Times New Roman"/>
        </w:rPr>
        <w:t>schieden, dass das Vermieterpfandrecht auch Fahrzeuge umfasst, die auf dem gemieteten Grundstück vom Mieter regelmäßig abgestellt werden. Das Pfandrecht erlischt, wenn das Fahrzeug für die Durchführung einer Fahrt von dem Mietgrundstück – auch nur vorüberg</w:t>
      </w:r>
      <w:r w:rsidRPr="003F79AF">
        <w:rPr>
          <w:rFonts w:cs="Times New Roman"/>
        </w:rPr>
        <w:t>e</w:t>
      </w:r>
      <w:r w:rsidRPr="003F79AF">
        <w:rPr>
          <w:rFonts w:cs="Times New Roman"/>
        </w:rPr>
        <w:t xml:space="preserve">hend – entfernt wird. Es entsteht neu, wenn das Fahrzeug später wieder auf dem Grundstück abgestellt wird. </w:t>
      </w:r>
    </w:p>
    <w:p w:rsidR="00680628" w:rsidRDefault="00680628" w:rsidP="009A5D8D">
      <w:pPr>
        <w:pStyle w:val="KeinLeerraum"/>
        <w:rPr>
          <w:rFonts w:cs="Times New Roman"/>
        </w:rPr>
      </w:pPr>
    </w:p>
    <w:p w:rsidR="00680628" w:rsidRDefault="00680628" w:rsidP="009A5D8D">
      <w:pPr>
        <w:pStyle w:val="KeinLeerraum"/>
        <w:rPr>
          <w:rFonts w:cs="Times New Roman"/>
        </w:rPr>
      </w:pPr>
      <w:r w:rsidRPr="00680628">
        <w:rPr>
          <w:rFonts w:cs="Times New Roman"/>
        </w:rPr>
        <w:t xml:space="preserve">Der </w:t>
      </w:r>
      <w:r w:rsidRPr="00680628">
        <w:rPr>
          <w:rFonts w:cs="Times New Roman"/>
          <w:b/>
        </w:rPr>
        <w:t>BGH</w:t>
      </w:r>
      <w:r w:rsidRPr="00680628">
        <w:rPr>
          <w:rFonts w:cs="Times New Roman"/>
        </w:rPr>
        <w:t xml:space="preserve"> hat mit Urteil vom 27.10.2017 fo</w:t>
      </w:r>
      <w:r w:rsidRPr="00680628">
        <w:rPr>
          <w:rFonts w:cs="Times New Roman"/>
        </w:rPr>
        <w:t>l</w:t>
      </w:r>
      <w:r w:rsidRPr="00680628">
        <w:rPr>
          <w:rFonts w:cs="Times New Roman"/>
        </w:rPr>
        <w:t>gendes entschieden: Dem Nachbarn, der von dem Eigentümer von Bäumen, die den lande</w:t>
      </w:r>
      <w:r w:rsidRPr="00680628">
        <w:rPr>
          <w:rFonts w:cs="Times New Roman"/>
        </w:rPr>
        <w:t>s</w:t>
      </w:r>
      <w:r w:rsidRPr="00680628">
        <w:rPr>
          <w:rFonts w:cs="Times New Roman"/>
        </w:rPr>
        <w:t>rechtlich vorgeschriebenen Grenzabstand nicht einhalten, deren Beseitigung oder Zurüc</w:t>
      </w:r>
      <w:r w:rsidRPr="00680628">
        <w:rPr>
          <w:rFonts w:cs="Times New Roman"/>
        </w:rPr>
        <w:t>k</w:t>
      </w:r>
      <w:r w:rsidRPr="00680628">
        <w:rPr>
          <w:rFonts w:cs="Times New Roman"/>
        </w:rPr>
        <w:t>schneiden wegen des Ablaufs der dafür in dem L</w:t>
      </w:r>
      <w:r>
        <w:rPr>
          <w:rFonts w:cs="Times New Roman"/>
        </w:rPr>
        <w:t>andesn</w:t>
      </w:r>
      <w:r w:rsidRPr="00680628">
        <w:rPr>
          <w:rFonts w:cs="Times New Roman"/>
        </w:rPr>
        <w:t>achbarrecht vorgesehenen Ausschlus</w:t>
      </w:r>
      <w:r w:rsidRPr="00680628">
        <w:rPr>
          <w:rFonts w:cs="Times New Roman"/>
        </w:rPr>
        <w:t>s</w:t>
      </w:r>
      <w:r w:rsidRPr="00680628">
        <w:rPr>
          <w:rFonts w:cs="Times New Roman"/>
        </w:rPr>
        <w:t>frist nicht mehr verlangen kann, kann für den erhöhten Reinigungsaufwand infolge des A</w:t>
      </w:r>
      <w:r w:rsidRPr="00680628">
        <w:rPr>
          <w:rFonts w:cs="Times New Roman"/>
        </w:rPr>
        <w:t>b</w:t>
      </w:r>
      <w:r>
        <w:rPr>
          <w:rFonts w:cs="Times New Roman"/>
        </w:rPr>
        <w:t xml:space="preserve">falls </w:t>
      </w:r>
      <w:r w:rsidRPr="00680628">
        <w:rPr>
          <w:rFonts w:cs="Times New Roman"/>
        </w:rPr>
        <w:t xml:space="preserve">von Laub, Nadeln, </w:t>
      </w:r>
      <w:r>
        <w:rPr>
          <w:rFonts w:cs="Times New Roman"/>
        </w:rPr>
        <w:t xml:space="preserve">Blüten </w:t>
      </w:r>
      <w:r w:rsidRPr="00680628">
        <w:rPr>
          <w:rFonts w:cs="Times New Roman"/>
        </w:rPr>
        <w:t xml:space="preserve"> und </w:t>
      </w:r>
      <w:r>
        <w:rPr>
          <w:rFonts w:cs="Times New Roman"/>
        </w:rPr>
        <w:t>Zapfen</w:t>
      </w:r>
      <w:r w:rsidRPr="00680628">
        <w:rPr>
          <w:rFonts w:cs="Times New Roman"/>
        </w:rPr>
        <w:t xml:space="preserve"> dieser Bäume ein nachbarrechtlicher Au</w:t>
      </w:r>
      <w:r w:rsidRPr="00680628">
        <w:rPr>
          <w:rFonts w:cs="Times New Roman"/>
        </w:rPr>
        <w:t>s</w:t>
      </w:r>
      <w:r w:rsidRPr="00680628">
        <w:rPr>
          <w:rFonts w:cs="Times New Roman"/>
        </w:rPr>
        <w:t>gleichsanspruch nach § 906 II 2 BGB analog zustehen. Ein nachbarrechtlicher Ausgleich</w:t>
      </w:r>
      <w:r w:rsidRPr="00680628">
        <w:rPr>
          <w:rFonts w:cs="Times New Roman"/>
        </w:rPr>
        <w:t>s</w:t>
      </w:r>
      <w:r w:rsidRPr="00680628">
        <w:rPr>
          <w:rFonts w:cs="Times New Roman"/>
        </w:rPr>
        <w:t>an</w:t>
      </w:r>
      <w:r>
        <w:rPr>
          <w:rFonts w:cs="Times New Roman"/>
        </w:rPr>
        <w:t xml:space="preserve">spruch analog § 906 II 2 </w:t>
      </w:r>
      <w:r w:rsidRPr="00680628">
        <w:rPr>
          <w:rFonts w:cs="Times New Roman"/>
        </w:rPr>
        <w:t xml:space="preserve"> BGB ist ausg</w:t>
      </w:r>
      <w:r w:rsidRPr="00680628">
        <w:rPr>
          <w:rFonts w:cs="Times New Roman"/>
        </w:rPr>
        <w:t>e</w:t>
      </w:r>
      <w:r w:rsidRPr="00680628">
        <w:rPr>
          <w:rFonts w:cs="Times New Roman"/>
        </w:rPr>
        <w:t>schlossen, falls das Naturschutzrecht dem St</w:t>
      </w:r>
      <w:r w:rsidRPr="00680628">
        <w:rPr>
          <w:rFonts w:cs="Times New Roman"/>
        </w:rPr>
        <w:t>ö</w:t>
      </w:r>
      <w:r w:rsidRPr="00680628">
        <w:rPr>
          <w:rFonts w:cs="Times New Roman"/>
        </w:rPr>
        <w:t>rer verbietet, die Einwirkung auf das Grun</w:t>
      </w:r>
      <w:r w:rsidRPr="00680628">
        <w:rPr>
          <w:rFonts w:cs="Times New Roman"/>
        </w:rPr>
        <w:t>d</w:t>
      </w:r>
      <w:r w:rsidRPr="00680628">
        <w:rPr>
          <w:rFonts w:cs="Times New Roman"/>
        </w:rPr>
        <w:t>stück des gestörten zu unterlassen oder abz</w:t>
      </w:r>
      <w:r w:rsidRPr="00680628">
        <w:rPr>
          <w:rFonts w:cs="Times New Roman"/>
        </w:rPr>
        <w:t>u</w:t>
      </w:r>
      <w:r>
        <w:rPr>
          <w:rFonts w:cs="Times New Roman"/>
        </w:rPr>
        <w:t>stellen.</w:t>
      </w:r>
    </w:p>
    <w:p w:rsidR="007D3142" w:rsidRDefault="007D3142" w:rsidP="009A5D8D">
      <w:pPr>
        <w:pStyle w:val="KeinLeerraum"/>
        <w:rPr>
          <w:rFonts w:cs="Times New Roman"/>
        </w:rPr>
      </w:pPr>
    </w:p>
    <w:p w:rsidR="007D3142" w:rsidRDefault="007D3142" w:rsidP="007D3142">
      <w:pPr>
        <w:pStyle w:val="KeinLeerraum"/>
        <w:rPr>
          <w:rFonts w:cs="Times New Roman"/>
        </w:rPr>
      </w:pPr>
      <w:r w:rsidRPr="00093902">
        <w:rPr>
          <w:rFonts w:cs="Times New Roman"/>
        </w:rPr>
        <w:t xml:space="preserve">Das </w:t>
      </w:r>
      <w:r w:rsidRPr="00093902">
        <w:rPr>
          <w:rFonts w:cs="Times New Roman"/>
          <w:b/>
        </w:rPr>
        <w:t>Amtsgericht München</w:t>
      </w:r>
      <w:r w:rsidRPr="00093902">
        <w:rPr>
          <w:rFonts w:cs="Times New Roman"/>
        </w:rPr>
        <w:t xml:space="preserve"> hat mit Urteil vom 14.</w:t>
      </w:r>
      <w:r>
        <w:rPr>
          <w:rFonts w:cs="Times New Roman"/>
        </w:rPr>
        <w:t>02.2018 entschieden, dass in dem</w:t>
      </w:r>
      <w:r w:rsidRPr="00093902">
        <w:rPr>
          <w:rFonts w:cs="Times New Roman"/>
        </w:rPr>
        <w:t xml:space="preserve"> Ga</w:t>
      </w:r>
      <w:r w:rsidRPr="00093902">
        <w:rPr>
          <w:rFonts w:cs="Times New Roman"/>
        </w:rPr>
        <w:t>r</w:t>
      </w:r>
      <w:r w:rsidRPr="00093902">
        <w:rPr>
          <w:rFonts w:cs="Times New Roman"/>
        </w:rPr>
        <w:t>ten einer Wohnanlage ohne Zustimmung der übrigen Miteigentümer kein Gartenhaus erric</w:t>
      </w:r>
      <w:r w:rsidRPr="00093902">
        <w:rPr>
          <w:rFonts w:cs="Times New Roman"/>
        </w:rPr>
        <w:t>h</w:t>
      </w:r>
      <w:r w:rsidRPr="00093902">
        <w:rPr>
          <w:rFonts w:cs="Times New Roman"/>
        </w:rPr>
        <w:t>tet werden darf. Die Eigentümerin musste das auf ihrer Sondernutzungsfläche errichtete Ga</w:t>
      </w:r>
      <w:r w:rsidRPr="00093902">
        <w:rPr>
          <w:rFonts w:cs="Times New Roman"/>
        </w:rPr>
        <w:t>r</w:t>
      </w:r>
      <w:r w:rsidRPr="00093902">
        <w:rPr>
          <w:rFonts w:cs="Times New Roman"/>
        </w:rPr>
        <w:t>tenhaus entfernen. Nach der geltenden G</w:t>
      </w:r>
      <w:r w:rsidRPr="00093902">
        <w:rPr>
          <w:rFonts w:cs="Times New Roman"/>
        </w:rPr>
        <w:t>e</w:t>
      </w:r>
      <w:r w:rsidRPr="00093902">
        <w:rPr>
          <w:rFonts w:cs="Times New Roman"/>
        </w:rPr>
        <w:t>meinschaftsordnung konnte jeder Wohnung</w:t>
      </w:r>
      <w:r w:rsidRPr="00093902">
        <w:rPr>
          <w:rFonts w:cs="Times New Roman"/>
        </w:rPr>
        <w:t>s</w:t>
      </w:r>
      <w:r w:rsidRPr="00093902">
        <w:rPr>
          <w:rFonts w:cs="Times New Roman"/>
        </w:rPr>
        <w:t>eigentümer die von seinem Sondernutzung</w:t>
      </w:r>
      <w:r w:rsidRPr="00093902">
        <w:rPr>
          <w:rFonts w:cs="Times New Roman"/>
        </w:rPr>
        <w:t>s</w:t>
      </w:r>
      <w:r w:rsidRPr="00093902">
        <w:rPr>
          <w:rFonts w:cs="Times New Roman"/>
        </w:rPr>
        <w:t>recht betroffenen Gegenstände verändern und verbessern unter dem Vorbehalt, die Rechte der anderen Wohnungseigentümer nicht zu beeinträchtigen. Bauliche Veränderungen mü</w:t>
      </w:r>
      <w:r w:rsidRPr="00093902">
        <w:rPr>
          <w:rFonts w:cs="Times New Roman"/>
        </w:rPr>
        <w:t>s</w:t>
      </w:r>
      <w:r w:rsidRPr="00093902">
        <w:rPr>
          <w:rFonts w:cs="Times New Roman"/>
        </w:rPr>
        <w:t xml:space="preserve">sen behördlich genehmigt sein, die Sicherheit, die Stabilität, die Zweckbestimmung und das architektonische und ästhetische Bild der Wohnanlage dufte nicht beeinträchtigt werden. Die zum Landgericht München I eingelegte Berufung wurde zurückgewiesen. </w:t>
      </w:r>
    </w:p>
    <w:p w:rsidR="007D3142" w:rsidRDefault="007D3142" w:rsidP="007D3142">
      <w:pPr>
        <w:pStyle w:val="KeinLeerraum"/>
        <w:rPr>
          <w:rFonts w:cs="Times New Roman"/>
        </w:rPr>
      </w:pPr>
    </w:p>
    <w:p w:rsidR="007D3142" w:rsidRDefault="007D3142" w:rsidP="007D3142">
      <w:pPr>
        <w:pStyle w:val="KeinLeerraum"/>
        <w:rPr>
          <w:rFonts w:cs="Times New Roman"/>
        </w:rPr>
      </w:pPr>
      <w:r w:rsidRPr="007D3142">
        <w:rPr>
          <w:rFonts w:cs="Times New Roman"/>
        </w:rPr>
        <w:t xml:space="preserve">Der </w:t>
      </w:r>
      <w:r w:rsidRPr="007D3142">
        <w:rPr>
          <w:rFonts w:cs="Times New Roman"/>
          <w:b/>
        </w:rPr>
        <w:t>BGH</w:t>
      </w:r>
      <w:r w:rsidRPr="007D3142">
        <w:rPr>
          <w:rFonts w:cs="Times New Roman"/>
        </w:rPr>
        <w:t xml:space="preserve"> hat mit Urteil vom 16.02.2018 en</w:t>
      </w:r>
      <w:r w:rsidRPr="007D3142">
        <w:rPr>
          <w:rFonts w:cs="Times New Roman"/>
        </w:rPr>
        <w:t>t</w:t>
      </w:r>
      <w:r w:rsidRPr="007D3142">
        <w:rPr>
          <w:rFonts w:cs="Times New Roman"/>
        </w:rPr>
        <w:t xml:space="preserve">schieden, dass die </w:t>
      </w:r>
      <w:r>
        <w:rPr>
          <w:rFonts w:cs="Times New Roman"/>
        </w:rPr>
        <w:t>Pflicht zur</w:t>
      </w:r>
      <w:r w:rsidRPr="007D3142">
        <w:rPr>
          <w:rFonts w:cs="Times New Roman"/>
        </w:rPr>
        <w:t xml:space="preserve"> Erstellung der </w:t>
      </w:r>
      <w:r w:rsidRPr="007D3142">
        <w:rPr>
          <w:rFonts w:cs="Times New Roman"/>
        </w:rPr>
        <w:lastRenderedPageBreak/>
        <w:t>Jahresabrechnung gemäß § 28 Abs. 3 WEG den Verwalter trifft, der im Zeitpunkt der En</w:t>
      </w:r>
      <w:r w:rsidRPr="007D3142">
        <w:rPr>
          <w:rFonts w:cs="Times New Roman"/>
        </w:rPr>
        <w:t>t</w:t>
      </w:r>
      <w:r w:rsidRPr="007D3142">
        <w:rPr>
          <w:rFonts w:cs="Times New Roman"/>
        </w:rPr>
        <w:t xml:space="preserve">stehung der Abrechnungspflicht Amtsinhaber ist. </w:t>
      </w:r>
      <w:r w:rsidR="0013275B" w:rsidRPr="007D3142">
        <w:rPr>
          <w:rFonts w:cs="Times New Roman"/>
        </w:rPr>
        <w:t>Scheidet der Verwalter im Laufe des Wir</w:t>
      </w:r>
      <w:r w:rsidR="0013275B" w:rsidRPr="007D3142">
        <w:rPr>
          <w:rFonts w:cs="Times New Roman"/>
        </w:rPr>
        <w:t>t</w:t>
      </w:r>
      <w:r w:rsidR="0013275B" w:rsidRPr="007D3142">
        <w:rPr>
          <w:rFonts w:cs="Times New Roman"/>
        </w:rPr>
        <w:t>schaftsjahres aus seinem Amt aus, schuldet er – vorbehaltlich einer abweichenden Vereinb</w:t>
      </w:r>
      <w:r w:rsidR="0013275B" w:rsidRPr="007D3142">
        <w:rPr>
          <w:rFonts w:cs="Times New Roman"/>
        </w:rPr>
        <w:t>a</w:t>
      </w:r>
      <w:r w:rsidR="0013275B" w:rsidRPr="007D3142">
        <w:rPr>
          <w:rFonts w:cs="Times New Roman"/>
        </w:rPr>
        <w:t>rung – die Jahresabrechnung für das abgela</w:t>
      </w:r>
      <w:r w:rsidR="0013275B" w:rsidRPr="007D3142">
        <w:rPr>
          <w:rFonts w:cs="Times New Roman"/>
        </w:rPr>
        <w:t>u</w:t>
      </w:r>
      <w:r w:rsidR="0013275B" w:rsidRPr="007D3142">
        <w:rPr>
          <w:rFonts w:cs="Times New Roman"/>
        </w:rPr>
        <w:t>fene Wirtschaftsjahr unabhängig davon, ob im Zeitpunkt seines Ausscheidens die Abrechnung bereits fällig war</w:t>
      </w:r>
      <w:r w:rsidR="0013275B">
        <w:rPr>
          <w:rFonts w:cs="Times New Roman"/>
        </w:rPr>
        <w:t>.</w:t>
      </w:r>
    </w:p>
    <w:p w:rsidR="003F79AF" w:rsidRDefault="003F79AF" w:rsidP="009A5D8D">
      <w:pPr>
        <w:pStyle w:val="KeinLeerraum"/>
        <w:pBdr>
          <w:bottom w:val="single" w:sz="12" w:space="1" w:color="auto"/>
        </w:pBdr>
        <w:rPr>
          <w:rFonts w:cs="Times New Roman"/>
        </w:rPr>
      </w:pPr>
    </w:p>
    <w:p w:rsidR="00F04D44" w:rsidRDefault="00F04D44" w:rsidP="009A5D8D">
      <w:pPr>
        <w:pStyle w:val="KeinLeerraum"/>
        <w:rPr>
          <w:rFonts w:cs="Times New Roman"/>
        </w:rPr>
      </w:pPr>
    </w:p>
    <w:p w:rsidR="00F04D44" w:rsidRPr="00F04D44" w:rsidRDefault="00F04D44" w:rsidP="009A5D8D">
      <w:pPr>
        <w:pStyle w:val="KeinLeerraum"/>
        <w:rPr>
          <w:rFonts w:cs="Times New Roman"/>
          <w:b/>
        </w:rPr>
      </w:pPr>
      <w:r w:rsidRPr="00F04D44">
        <w:rPr>
          <w:rFonts w:cs="Times New Roman"/>
          <w:b/>
        </w:rPr>
        <w:t>Gesetzgebung:</w:t>
      </w:r>
    </w:p>
    <w:p w:rsidR="00F04D44" w:rsidRDefault="00F04D44" w:rsidP="009A5D8D">
      <w:pPr>
        <w:pStyle w:val="KeinLeerraum"/>
        <w:rPr>
          <w:rFonts w:cs="Times New Roman"/>
        </w:rPr>
      </w:pPr>
    </w:p>
    <w:p w:rsidR="00F04D44" w:rsidRDefault="00F04D44" w:rsidP="009A5D8D">
      <w:pPr>
        <w:pStyle w:val="KeinLeerraum"/>
        <w:rPr>
          <w:rFonts w:cs="Times New Roman"/>
        </w:rPr>
      </w:pPr>
      <w:r w:rsidRPr="00F04D44">
        <w:rPr>
          <w:rFonts w:cs="Times New Roman"/>
        </w:rPr>
        <w:t>Unter dem 10.01.2018 hat die geschäftsfü</w:t>
      </w:r>
      <w:r w:rsidRPr="00F04D44">
        <w:rPr>
          <w:rFonts w:cs="Times New Roman"/>
        </w:rPr>
        <w:t>h</w:t>
      </w:r>
      <w:r w:rsidRPr="00F04D44">
        <w:rPr>
          <w:rFonts w:cs="Times New Roman"/>
        </w:rPr>
        <w:t>rende Bundesregierung einen Gesetzentwurf des Bundesrates zur Änderung des Wohnung</w:t>
      </w:r>
      <w:r w:rsidRPr="00F04D44">
        <w:rPr>
          <w:rFonts w:cs="Times New Roman"/>
        </w:rPr>
        <w:t>s</w:t>
      </w:r>
      <w:r w:rsidRPr="00F04D44">
        <w:rPr>
          <w:rFonts w:cs="Times New Roman"/>
        </w:rPr>
        <w:t>eigentumsgesetzes und des BGB in den Bu</w:t>
      </w:r>
      <w:r w:rsidRPr="00F04D44">
        <w:rPr>
          <w:rFonts w:cs="Times New Roman"/>
        </w:rPr>
        <w:t>n</w:t>
      </w:r>
      <w:r w:rsidRPr="00F04D44">
        <w:rPr>
          <w:rFonts w:cs="Times New Roman"/>
        </w:rPr>
        <w:t>destag eingebracht, der sich auf die Förderung von Barrierefreiheit und von Elektromobilität andererseits bezieht. Vorgesehen sind entspr</w:t>
      </w:r>
      <w:r w:rsidRPr="00F04D44">
        <w:rPr>
          <w:rFonts w:cs="Times New Roman"/>
        </w:rPr>
        <w:t>e</w:t>
      </w:r>
      <w:r w:rsidRPr="00F04D44">
        <w:rPr>
          <w:rFonts w:cs="Times New Roman"/>
        </w:rPr>
        <w:t>chende Änderungen der § 16, 22 WEG, um erleichterte Umsetzungsmöglichkeiten In A</w:t>
      </w:r>
      <w:r w:rsidRPr="00F04D44">
        <w:rPr>
          <w:rFonts w:cs="Times New Roman"/>
        </w:rPr>
        <w:t>b</w:t>
      </w:r>
      <w:r w:rsidRPr="00F04D44">
        <w:rPr>
          <w:rFonts w:cs="Times New Roman"/>
        </w:rPr>
        <w:t>kehr von der bisher zumindest teilweise no</w:t>
      </w:r>
      <w:r w:rsidRPr="00F04D44">
        <w:rPr>
          <w:rFonts w:cs="Times New Roman"/>
        </w:rPr>
        <w:t>t</w:t>
      </w:r>
      <w:r w:rsidRPr="00F04D44">
        <w:rPr>
          <w:rFonts w:cs="Times New Roman"/>
        </w:rPr>
        <w:t xml:space="preserve">wendigen Zustimmung aller oder zumindest aller betroffenen Gemeinschaftsmitglieder zu schaffen. Hintergrund ist unter andern, dass für das Wohnungseigentumsrecht eine § 554a BGB </w:t>
      </w:r>
      <w:r w:rsidR="0013275B" w:rsidRPr="00F04D44">
        <w:rPr>
          <w:rFonts w:cs="Times New Roman"/>
        </w:rPr>
        <w:t>entsprechende</w:t>
      </w:r>
      <w:r w:rsidRPr="00F04D44">
        <w:rPr>
          <w:rFonts w:cs="Times New Roman"/>
        </w:rPr>
        <w:t xml:space="preserve"> Norm fehlt. Das Mie</w:t>
      </w:r>
      <w:r w:rsidRPr="00F04D44">
        <w:rPr>
          <w:rFonts w:cs="Times New Roman"/>
        </w:rPr>
        <w:t>t</w:t>
      </w:r>
      <w:r w:rsidRPr="00F04D44">
        <w:rPr>
          <w:rFonts w:cs="Times New Roman"/>
        </w:rPr>
        <w:t>recht soll in Anlehnung an diese Bestimmung zudem durch einen Paragrafen 554b BGB für die E</w:t>
      </w:r>
      <w:r w:rsidRPr="00F04D44">
        <w:rPr>
          <w:rFonts w:cs="Times New Roman"/>
        </w:rPr>
        <w:t>r</w:t>
      </w:r>
      <w:r w:rsidRPr="00F04D44">
        <w:rPr>
          <w:rFonts w:cs="Times New Roman"/>
        </w:rPr>
        <w:t>richtung von Anschlüssen zur praktischen U</w:t>
      </w:r>
      <w:r w:rsidRPr="00F04D44">
        <w:rPr>
          <w:rFonts w:cs="Times New Roman"/>
        </w:rPr>
        <w:t>m</w:t>
      </w:r>
      <w:r w:rsidRPr="00F04D44">
        <w:rPr>
          <w:rFonts w:cs="Times New Roman"/>
        </w:rPr>
        <w:t>setzung der Elektromobilität erwe</w:t>
      </w:r>
      <w:r w:rsidRPr="00F04D44">
        <w:rPr>
          <w:rFonts w:cs="Times New Roman"/>
        </w:rPr>
        <w:t>i</w:t>
      </w:r>
      <w:r w:rsidRPr="00F04D44">
        <w:rPr>
          <w:rFonts w:cs="Times New Roman"/>
        </w:rPr>
        <w:t>tert werden. Insoweit besteht inhaltliche Übe</w:t>
      </w:r>
      <w:r w:rsidRPr="00F04D44">
        <w:rPr>
          <w:rFonts w:cs="Times New Roman"/>
        </w:rPr>
        <w:t>r</w:t>
      </w:r>
      <w:r w:rsidRPr="00F04D44">
        <w:rPr>
          <w:rFonts w:cs="Times New Roman"/>
        </w:rPr>
        <w:t>einstimmung mit dem Gesetzentwurf der Bundesländer Ba</w:t>
      </w:r>
      <w:r w:rsidRPr="00F04D44">
        <w:rPr>
          <w:rFonts w:cs="Times New Roman"/>
        </w:rPr>
        <w:t>y</w:t>
      </w:r>
      <w:r w:rsidRPr="00F04D44">
        <w:rPr>
          <w:rFonts w:cs="Times New Roman"/>
        </w:rPr>
        <w:t>ern, Sachsen und Hessen, der unter dem 28.11.2017 nochmals in den Bun</w:t>
      </w:r>
      <w:r>
        <w:rPr>
          <w:rFonts w:cs="Times New Roman"/>
        </w:rPr>
        <w:t>desrat eing</w:t>
      </w:r>
      <w:r>
        <w:rPr>
          <w:rFonts w:cs="Times New Roman"/>
        </w:rPr>
        <w:t>e</w:t>
      </w:r>
      <w:r>
        <w:rPr>
          <w:rFonts w:cs="Times New Roman"/>
        </w:rPr>
        <w:t>bracht worden ist.</w:t>
      </w:r>
    </w:p>
    <w:p w:rsidR="00093902" w:rsidRDefault="00093902" w:rsidP="009A5D8D">
      <w:pPr>
        <w:pStyle w:val="KeinLeerraum"/>
        <w:rPr>
          <w:rFonts w:cs="Times New Roman"/>
        </w:rPr>
      </w:pPr>
    </w:p>
    <w:p w:rsidR="007D3142" w:rsidRDefault="007D3142" w:rsidP="009A5D8D">
      <w:pPr>
        <w:pStyle w:val="KeinLeerraum"/>
        <w:rPr>
          <w:rFonts w:cs="Times New Roman"/>
        </w:rPr>
      </w:pPr>
    </w:p>
    <w:p w:rsidR="009A5D8D" w:rsidRDefault="009A5D8D" w:rsidP="009A5D8D">
      <w:pPr>
        <w:pStyle w:val="KeinLeerraum"/>
        <w:rPr>
          <w:rFonts w:cs="Times New Roman"/>
        </w:rPr>
      </w:pPr>
      <w:r w:rsidRPr="00421B19">
        <w:rPr>
          <w:noProof/>
          <w:lang w:eastAsia="de-DE"/>
        </w:rPr>
        <mc:AlternateContent>
          <mc:Choice Requires="wps">
            <w:drawing>
              <wp:anchor distT="0" distB="0" distL="114300" distR="114300" simplePos="0" relativeHeight="251661312" behindDoc="0" locked="0" layoutInCell="1" allowOverlap="1" wp14:anchorId="529693AF" wp14:editId="75AC948F">
                <wp:simplePos x="0" y="0"/>
                <wp:positionH relativeFrom="column">
                  <wp:posOffset>50478</wp:posOffset>
                </wp:positionH>
                <wp:positionV relativeFrom="paragraph">
                  <wp:posOffset>105699</wp:posOffset>
                </wp:positionV>
                <wp:extent cx="2571008" cy="1858010"/>
                <wp:effectExtent l="0" t="0" r="20320" b="279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008" cy="1858010"/>
                        </a:xfrm>
                        <a:prstGeom prst="rect">
                          <a:avLst/>
                        </a:prstGeom>
                        <a:solidFill>
                          <a:srgbClr val="FFFFFF"/>
                        </a:solidFill>
                        <a:ln w="9525">
                          <a:solidFill>
                            <a:srgbClr val="000000"/>
                          </a:solidFill>
                          <a:miter lim="800000"/>
                          <a:headEnd/>
                          <a:tailEnd/>
                        </a:ln>
                      </wps:spPr>
                      <wps:txb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Pr="00C56C01"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9A5D8D" w:rsidRPr="00C56C01" w:rsidRDefault="009A5D8D" w:rsidP="009A5D8D">
                            <w:pPr>
                              <w:spacing w:after="0" w:line="240" w:lineRule="auto"/>
                              <w:rPr>
                                <w:rFonts w:ascii="Copperplate32BC" w:hAnsi="Copperplate32BC"/>
                                <w:sz w:val="16"/>
                              </w:rPr>
                            </w:pPr>
                          </w:p>
                          <w:p w:rsidR="009A5D8D" w:rsidRDefault="009A5D8D" w:rsidP="009A5D8D">
                            <w:pPr>
                              <w:spacing w:after="0" w:line="120" w:lineRule="exact"/>
                              <w:rPr>
                                <w:rFonts w:ascii="Copperplate32BC" w:hAnsi="Copperplate32BC"/>
                                <w:sz w:val="16"/>
                              </w:rPr>
                            </w:pPr>
                            <w:r w:rsidRPr="00C56C01">
                              <w:rPr>
                                <w:rFonts w:ascii="Copperplate32BC" w:hAnsi="Copperplate32BC"/>
                                <w:sz w:val="16"/>
                              </w:rPr>
                              <w:t>Dr. Jens Becker Platen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Michaela Schmidt-Eberth</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 Hopp</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Heinrich Frhr. v. Stackelberg</w:t>
                            </w:r>
                          </w:p>
                          <w:p w:rsidR="009A5D8D" w:rsidRDefault="009A5D8D" w:rsidP="009A5D8D">
                            <w:pPr>
                              <w:spacing w:after="0" w:line="120" w:lineRule="exact"/>
                              <w:rPr>
                                <w:rFonts w:cs="Times New Roman"/>
                                <w:sz w:val="12"/>
                              </w:rPr>
                            </w:pPr>
                            <w:r>
                              <w:rPr>
                                <w:rFonts w:cs="Times New Roman"/>
                                <w:sz w:val="12"/>
                              </w:rPr>
                              <w:t xml:space="preserve">        Rechtsanwalt,</w:t>
                            </w:r>
                          </w:p>
                          <w:p w:rsidR="009A5D8D" w:rsidRPr="00745155" w:rsidRDefault="009A5D8D" w:rsidP="009A5D8D">
                            <w:pPr>
                              <w:spacing w:after="0" w:line="120" w:lineRule="exact"/>
                              <w:rPr>
                                <w:rFonts w:cs="Times New Roman"/>
                                <w:sz w:val="6"/>
                              </w:rPr>
                            </w:pPr>
                          </w:p>
                          <w:p w:rsidR="009A5D8D" w:rsidRDefault="009A5D8D" w:rsidP="009A5D8D">
                            <w:pPr>
                              <w:spacing w:after="0" w:line="120" w:lineRule="exact"/>
                              <w:rPr>
                                <w:rFonts w:ascii="Copperplate32BC" w:hAnsi="Copperplate32BC"/>
                              </w:rPr>
                            </w:pPr>
                            <w:r w:rsidRPr="00C56C01">
                              <w:rPr>
                                <w:rFonts w:ascii="Copperplate32BC" w:hAnsi="Copperplate32BC"/>
                                <w:sz w:val="16"/>
                              </w:rPr>
                              <w:t>Thomas Luithlen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w:t>
                            </w:r>
                          </w:p>
                          <w:p w:rsidR="009A5D8D" w:rsidRPr="00745155" w:rsidRDefault="009A5D8D" w:rsidP="009A5D8D">
                            <w:pPr>
                              <w:spacing w:after="0" w:line="240" w:lineRule="auto"/>
                              <w:rPr>
                                <w:rFonts w:ascii="Copperplate32BC" w:hAnsi="Copperplate32BC"/>
                                <w:sz w:val="14"/>
                              </w:rPr>
                            </w:pP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5pt;margin-top:8.3pt;width:202.45pt;height:1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">
                <v:textbo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Pr="00C56C01"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9A5D8D" w:rsidRPr="00C56C01" w:rsidRDefault="009A5D8D" w:rsidP="009A5D8D">
                      <w:pPr>
                        <w:spacing w:after="0" w:line="240" w:lineRule="auto"/>
                        <w:rPr>
                          <w:rFonts w:ascii="Copperplate32BC" w:hAnsi="Copperplate32BC"/>
                          <w:sz w:val="16"/>
                        </w:rPr>
                      </w:pPr>
                    </w:p>
                    <w:p w:rsidR="009A5D8D" w:rsidRDefault="009A5D8D" w:rsidP="009A5D8D">
                      <w:pPr>
                        <w:spacing w:after="0" w:line="120" w:lineRule="exact"/>
                        <w:rPr>
                          <w:rFonts w:ascii="Copperplate32BC" w:hAnsi="Copperplate32BC"/>
                          <w:sz w:val="16"/>
                        </w:rPr>
                      </w:pPr>
                      <w:r w:rsidRPr="00C56C01">
                        <w:rPr>
                          <w:rFonts w:ascii="Copperplate32BC" w:hAnsi="Copperplate32BC"/>
                          <w:sz w:val="16"/>
                        </w:rPr>
                        <w:t>Dr. Jens Becker Platen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Michaela Schmidt-Eberth</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 Hopp</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Heinrich Frhr. v. Stackelberg</w:t>
                      </w:r>
                    </w:p>
                    <w:p w:rsidR="009A5D8D" w:rsidRDefault="009A5D8D" w:rsidP="009A5D8D">
                      <w:pPr>
                        <w:spacing w:after="0" w:line="120" w:lineRule="exact"/>
                        <w:rPr>
                          <w:rFonts w:cs="Times New Roman"/>
                          <w:sz w:val="12"/>
                        </w:rPr>
                      </w:pPr>
                      <w:r>
                        <w:rPr>
                          <w:rFonts w:cs="Times New Roman"/>
                          <w:sz w:val="12"/>
                        </w:rPr>
                        <w:t xml:space="preserve">        Rechtsanwalt,</w:t>
                      </w:r>
                    </w:p>
                    <w:p w:rsidR="009A5D8D" w:rsidRPr="00745155" w:rsidRDefault="009A5D8D" w:rsidP="009A5D8D">
                      <w:pPr>
                        <w:spacing w:after="0" w:line="120" w:lineRule="exact"/>
                        <w:rPr>
                          <w:rFonts w:cs="Times New Roman"/>
                          <w:sz w:val="6"/>
                        </w:rPr>
                      </w:pPr>
                    </w:p>
                    <w:p w:rsidR="009A5D8D" w:rsidRDefault="009A5D8D" w:rsidP="009A5D8D">
                      <w:pPr>
                        <w:spacing w:after="0" w:line="120" w:lineRule="exact"/>
                        <w:rPr>
                          <w:rFonts w:ascii="Copperplate32BC" w:hAnsi="Copperplate32BC"/>
                        </w:rPr>
                      </w:pPr>
                      <w:r w:rsidRPr="00C56C01">
                        <w:rPr>
                          <w:rFonts w:ascii="Copperplate32BC" w:hAnsi="Copperplate32BC"/>
                          <w:sz w:val="16"/>
                        </w:rPr>
                        <w:t>Thomas Luithlen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w:t>
                      </w:r>
                    </w:p>
                    <w:p w:rsidR="009A5D8D" w:rsidRPr="00745155" w:rsidRDefault="009A5D8D" w:rsidP="009A5D8D">
                      <w:pPr>
                        <w:spacing w:after="0" w:line="240" w:lineRule="auto"/>
                        <w:rPr>
                          <w:rFonts w:ascii="Copperplate32BC" w:hAnsi="Copperplate32BC"/>
                          <w:sz w:val="14"/>
                        </w:rPr>
                      </w:pP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v:textbox>
              </v:shape>
            </w:pict>
          </mc:Fallback>
        </mc:AlternateContent>
      </w:r>
    </w:p>
    <w:p w:rsidR="009A5D8D" w:rsidRDefault="009A5D8D" w:rsidP="009A5D8D">
      <w:pPr>
        <w:pStyle w:val="KeinLeerraum"/>
        <w:rPr>
          <w:rFonts w:cs="Times New Roman"/>
        </w:rPr>
      </w:pPr>
    </w:p>
    <w:p w:rsidR="009A5D8D" w:rsidRDefault="009A5D8D" w:rsidP="009A5D8D">
      <w:pPr>
        <w:pStyle w:val="KeinLeerraum"/>
        <w:rPr>
          <w:rFonts w:cs="Times New Roman"/>
        </w:rPr>
      </w:pPr>
    </w:p>
    <w:sectPr w:rsidR="009A5D8D" w:rsidSect="00F1158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23589"/>
    <w:rsid w:val="00030C57"/>
    <w:rsid w:val="00037A29"/>
    <w:rsid w:val="0005639D"/>
    <w:rsid w:val="0005726D"/>
    <w:rsid w:val="000669C3"/>
    <w:rsid w:val="000874D5"/>
    <w:rsid w:val="00093902"/>
    <w:rsid w:val="000A7DE0"/>
    <w:rsid w:val="000C477F"/>
    <w:rsid w:val="000C6C0A"/>
    <w:rsid w:val="000E41B8"/>
    <w:rsid w:val="000F1727"/>
    <w:rsid w:val="00101E98"/>
    <w:rsid w:val="00111066"/>
    <w:rsid w:val="0011246D"/>
    <w:rsid w:val="00124835"/>
    <w:rsid w:val="0013275B"/>
    <w:rsid w:val="00134C7F"/>
    <w:rsid w:val="001375AE"/>
    <w:rsid w:val="001745A0"/>
    <w:rsid w:val="00175CBB"/>
    <w:rsid w:val="001A57EF"/>
    <w:rsid w:val="001B2F23"/>
    <w:rsid w:val="001B6576"/>
    <w:rsid w:val="001C1780"/>
    <w:rsid w:val="001E1622"/>
    <w:rsid w:val="001E5925"/>
    <w:rsid w:val="002004DE"/>
    <w:rsid w:val="00201A3E"/>
    <w:rsid w:val="002134DA"/>
    <w:rsid w:val="0022361D"/>
    <w:rsid w:val="00230551"/>
    <w:rsid w:val="00232F4F"/>
    <w:rsid w:val="002370DE"/>
    <w:rsid w:val="00264863"/>
    <w:rsid w:val="00265A05"/>
    <w:rsid w:val="00271141"/>
    <w:rsid w:val="002A7469"/>
    <w:rsid w:val="002A7A9D"/>
    <w:rsid w:val="002B4C94"/>
    <w:rsid w:val="002E0B91"/>
    <w:rsid w:val="003001E5"/>
    <w:rsid w:val="00301F0E"/>
    <w:rsid w:val="0030310E"/>
    <w:rsid w:val="00310591"/>
    <w:rsid w:val="00311678"/>
    <w:rsid w:val="003137BB"/>
    <w:rsid w:val="00314880"/>
    <w:rsid w:val="0032057B"/>
    <w:rsid w:val="0032308D"/>
    <w:rsid w:val="003278EC"/>
    <w:rsid w:val="00327D32"/>
    <w:rsid w:val="00336775"/>
    <w:rsid w:val="003522CD"/>
    <w:rsid w:val="0035647B"/>
    <w:rsid w:val="00360D25"/>
    <w:rsid w:val="00376F02"/>
    <w:rsid w:val="003805D4"/>
    <w:rsid w:val="00385F93"/>
    <w:rsid w:val="00386426"/>
    <w:rsid w:val="003A3D51"/>
    <w:rsid w:val="003A4136"/>
    <w:rsid w:val="003B252E"/>
    <w:rsid w:val="003B5986"/>
    <w:rsid w:val="003D006E"/>
    <w:rsid w:val="003D22CC"/>
    <w:rsid w:val="003D7858"/>
    <w:rsid w:val="003E1559"/>
    <w:rsid w:val="003E59C5"/>
    <w:rsid w:val="003F79AF"/>
    <w:rsid w:val="004048FD"/>
    <w:rsid w:val="00421B19"/>
    <w:rsid w:val="00452DD5"/>
    <w:rsid w:val="00463FF8"/>
    <w:rsid w:val="004643D5"/>
    <w:rsid w:val="00466682"/>
    <w:rsid w:val="00475064"/>
    <w:rsid w:val="004853B0"/>
    <w:rsid w:val="00493550"/>
    <w:rsid w:val="004B2D14"/>
    <w:rsid w:val="004C6668"/>
    <w:rsid w:val="004E212C"/>
    <w:rsid w:val="004E5B6E"/>
    <w:rsid w:val="004F041F"/>
    <w:rsid w:val="004F0F1C"/>
    <w:rsid w:val="00504CA6"/>
    <w:rsid w:val="005226BB"/>
    <w:rsid w:val="00545294"/>
    <w:rsid w:val="00551ADB"/>
    <w:rsid w:val="00552B5C"/>
    <w:rsid w:val="00566C7E"/>
    <w:rsid w:val="005779EB"/>
    <w:rsid w:val="00577F14"/>
    <w:rsid w:val="0058003F"/>
    <w:rsid w:val="0058014E"/>
    <w:rsid w:val="00582153"/>
    <w:rsid w:val="005927E9"/>
    <w:rsid w:val="0059626E"/>
    <w:rsid w:val="005B71F4"/>
    <w:rsid w:val="005C553D"/>
    <w:rsid w:val="005D13B1"/>
    <w:rsid w:val="006361D2"/>
    <w:rsid w:val="00680628"/>
    <w:rsid w:val="0069034D"/>
    <w:rsid w:val="006925CB"/>
    <w:rsid w:val="006C7730"/>
    <w:rsid w:val="006D5A1E"/>
    <w:rsid w:val="0075664B"/>
    <w:rsid w:val="00761A87"/>
    <w:rsid w:val="00763C22"/>
    <w:rsid w:val="0076545E"/>
    <w:rsid w:val="00770CD4"/>
    <w:rsid w:val="00776757"/>
    <w:rsid w:val="00776EB2"/>
    <w:rsid w:val="0078104E"/>
    <w:rsid w:val="007858A6"/>
    <w:rsid w:val="007961AB"/>
    <w:rsid w:val="007A21D0"/>
    <w:rsid w:val="007B1699"/>
    <w:rsid w:val="007B4EB6"/>
    <w:rsid w:val="007D3142"/>
    <w:rsid w:val="007D431F"/>
    <w:rsid w:val="007E1245"/>
    <w:rsid w:val="007E4EC5"/>
    <w:rsid w:val="007E7331"/>
    <w:rsid w:val="007F1514"/>
    <w:rsid w:val="007F1946"/>
    <w:rsid w:val="007F20B5"/>
    <w:rsid w:val="007F27F9"/>
    <w:rsid w:val="00807875"/>
    <w:rsid w:val="00816624"/>
    <w:rsid w:val="0082772A"/>
    <w:rsid w:val="008420B0"/>
    <w:rsid w:val="008464B3"/>
    <w:rsid w:val="008648B0"/>
    <w:rsid w:val="008802A9"/>
    <w:rsid w:val="00885A97"/>
    <w:rsid w:val="00890A5D"/>
    <w:rsid w:val="008A25EE"/>
    <w:rsid w:val="008E1688"/>
    <w:rsid w:val="008F6FB7"/>
    <w:rsid w:val="00907E5D"/>
    <w:rsid w:val="009360D0"/>
    <w:rsid w:val="00941952"/>
    <w:rsid w:val="00942C61"/>
    <w:rsid w:val="00946D50"/>
    <w:rsid w:val="009578BB"/>
    <w:rsid w:val="00970543"/>
    <w:rsid w:val="00983E19"/>
    <w:rsid w:val="009925EF"/>
    <w:rsid w:val="00994BA8"/>
    <w:rsid w:val="00995261"/>
    <w:rsid w:val="00996E43"/>
    <w:rsid w:val="009A334A"/>
    <w:rsid w:val="009A5D8D"/>
    <w:rsid w:val="009C21B2"/>
    <w:rsid w:val="009C59AB"/>
    <w:rsid w:val="009E3F68"/>
    <w:rsid w:val="00A01125"/>
    <w:rsid w:val="00A233C0"/>
    <w:rsid w:val="00A266BF"/>
    <w:rsid w:val="00A4659F"/>
    <w:rsid w:val="00A563F1"/>
    <w:rsid w:val="00A66F4F"/>
    <w:rsid w:val="00A70069"/>
    <w:rsid w:val="00A81434"/>
    <w:rsid w:val="00AA3329"/>
    <w:rsid w:val="00AD00D9"/>
    <w:rsid w:val="00AF57D7"/>
    <w:rsid w:val="00AF6168"/>
    <w:rsid w:val="00AF6CAB"/>
    <w:rsid w:val="00B0503C"/>
    <w:rsid w:val="00B053D4"/>
    <w:rsid w:val="00B13894"/>
    <w:rsid w:val="00B30D91"/>
    <w:rsid w:val="00B3690C"/>
    <w:rsid w:val="00B36A2F"/>
    <w:rsid w:val="00B40FB0"/>
    <w:rsid w:val="00B41385"/>
    <w:rsid w:val="00B42ABB"/>
    <w:rsid w:val="00B43FC1"/>
    <w:rsid w:val="00B500FC"/>
    <w:rsid w:val="00B673DC"/>
    <w:rsid w:val="00B80D2C"/>
    <w:rsid w:val="00B91F93"/>
    <w:rsid w:val="00B97642"/>
    <w:rsid w:val="00BE7524"/>
    <w:rsid w:val="00C00761"/>
    <w:rsid w:val="00C162CD"/>
    <w:rsid w:val="00C25EE4"/>
    <w:rsid w:val="00C41029"/>
    <w:rsid w:val="00C446AF"/>
    <w:rsid w:val="00C548FB"/>
    <w:rsid w:val="00C63C81"/>
    <w:rsid w:val="00C66441"/>
    <w:rsid w:val="00C7662F"/>
    <w:rsid w:val="00C76FBB"/>
    <w:rsid w:val="00C800F2"/>
    <w:rsid w:val="00C80531"/>
    <w:rsid w:val="00C817AB"/>
    <w:rsid w:val="00C81F09"/>
    <w:rsid w:val="00C97136"/>
    <w:rsid w:val="00CC3018"/>
    <w:rsid w:val="00CD0574"/>
    <w:rsid w:val="00CD42C9"/>
    <w:rsid w:val="00CE262C"/>
    <w:rsid w:val="00D30BBD"/>
    <w:rsid w:val="00D30D81"/>
    <w:rsid w:val="00D3799D"/>
    <w:rsid w:val="00D40A7E"/>
    <w:rsid w:val="00D40B3C"/>
    <w:rsid w:val="00D60B51"/>
    <w:rsid w:val="00D7215A"/>
    <w:rsid w:val="00D7229F"/>
    <w:rsid w:val="00D735C6"/>
    <w:rsid w:val="00D85E19"/>
    <w:rsid w:val="00D92A77"/>
    <w:rsid w:val="00DC281D"/>
    <w:rsid w:val="00DD28CA"/>
    <w:rsid w:val="00DD404C"/>
    <w:rsid w:val="00DE0FD1"/>
    <w:rsid w:val="00DE4F90"/>
    <w:rsid w:val="00DF083C"/>
    <w:rsid w:val="00E02823"/>
    <w:rsid w:val="00E13739"/>
    <w:rsid w:val="00E147D7"/>
    <w:rsid w:val="00E1738B"/>
    <w:rsid w:val="00E60FAD"/>
    <w:rsid w:val="00E71BCE"/>
    <w:rsid w:val="00E76E26"/>
    <w:rsid w:val="00E77BB9"/>
    <w:rsid w:val="00E80B6B"/>
    <w:rsid w:val="00EB704E"/>
    <w:rsid w:val="00EC07D9"/>
    <w:rsid w:val="00EC6CAD"/>
    <w:rsid w:val="00ED0750"/>
    <w:rsid w:val="00ED1241"/>
    <w:rsid w:val="00EE3699"/>
    <w:rsid w:val="00EF65E1"/>
    <w:rsid w:val="00F03078"/>
    <w:rsid w:val="00F04D44"/>
    <w:rsid w:val="00F123E9"/>
    <w:rsid w:val="00F2170D"/>
    <w:rsid w:val="00F55819"/>
    <w:rsid w:val="00F61F47"/>
    <w:rsid w:val="00F83B09"/>
    <w:rsid w:val="00F85A4C"/>
    <w:rsid w:val="00F95FDC"/>
    <w:rsid w:val="00FB5FDB"/>
    <w:rsid w:val="00FB7E93"/>
    <w:rsid w:val="00FD6989"/>
    <w:rsid w:val="00FE0107"/>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3190cef6-a0e5-4af0-a915-775c50874ce5</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1B69-A7D0-4C5D-931D-B3AC44EFE6E5}">
  <ds:schemaRefs>
    <ds:schemaRef ds:uri="http://www.datev.de/BSOffice/999929"/>
  </ds:schemaRefs>
</ds:datastoreItem>
</file>

<file path=customXml/itemProps2.xml><?xml version="1.0" encoding="utf-8"?>
<ds:datastoreItem xmlns:ds="http://schemas.openxmlformats.org/officeDocument/2006/customXml" ds:itemID="{73C512E2-DAB5-4298-8630-67D51B24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6812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9</cp:revision>
  <cp:lastPrinted>2013-12-05T15:57:00Z</cp:lastPrinted>
  <dcterms:created xsi:type="dcterms:W3CDTF">2018-03-26T06:55:00Z</dcterms:created>
  <dcterms:modified xsi:type="dcterms:W3CDTF">2018-04-30T08:53:00Z</dcterms:modified>
</cp:coreProperties>
</file>