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A0" w:rsidRDefault="001745A0" w:rsidP="006D5A1E">
      <w:pPr>
        <w:pStyle w:val="KeinLeerraum"/>
      </w:pPr>
      <w:r w:rsidRPr="00421B19">
        <w:rPr>
          <w:noProof/>
          <w:lang w:eastAsia="de-DE"/>
        </w:rPr>
        <mc:AlternateContent>
          <mc:Choice Requires="wps">
            <w:drawing>
              <wp:anchor distT="0" distB="0" distL="114300" distR="114300" simplePos="0" relativeHeight="251659264" behindDoc="0" locked="0" layoutInCell="1" allowOverlap="1" wp14:anchorId="5C01AB30" wp14:editId="4711403B">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C41029">
                              <w:rPr>
                                <w:b/>
                                <w:sz w:val="28"/>
                              </w:rPr>
                              <w:t>April</w:t>
                            </w:r>
                            <w:r w:rsidR="00FE0107">
                              <w:rPr>
                                <w:b/>
                                <w:sz w:val="28"/>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C41029">
                        <w:rPr>
                          <w:b/>
                          <w:sz w:val="28"/>
                        </w:rPr>
                        <w:t>April</w:t>
                      </w:r>
                      <w:r w:rsidR="00FE0107">
                        <w:rPr>
                          <w:b/>
                          <w:sz w:val="28"/>
                        </w:rPr>
                        <w:t xml:space="preserve"> 2018</w:t>
                      </w:r>
                    </w:p>
                  </w:txbxContent>
                </v:textbox>
              </v:shape>
            </w:pict>
          </mc:Fallback>
        </mc:AlternateContent>
      </w:r>
    </w:p>
    <w:p w:rsidR="001745A0" w:rsidRDefault="001745A0" w:rsidP="006D5A1E">
      <w:pPr>
        <w:pStyle w:val="KeinLeerraum"/>
      </w:pPr>
    </w:p>
    <w:p w:rsidR="001745A0" w:rsidRDefault="001745A0" w:rsidP="006D5A1E">
      <w:pPr>
        <w:pStyle w:val="KeinLeerraum"/>
      </w:pPr>
    </w:p>
    <w:p w:rsidR="001745A0" w:rsidRDefault="001745A0" w:rsidP="006D5A1E">
      <w:pPr>
        <w:pStyle w:val="KeinLeerraum"/>
      </w:pPr>
    </w:p>
    <w:p w:rsidR="001745A0" w:rsidRDefault="001745A0" w:rsidP="006D5A1E">
      <w:pPr>
        <w:pStyle w:val="KeinLeerraum"/>
      </w:pPr>
    </w:p>
    <w:p w:rsidR="001745A0" w:rsidRDefault="001745A0" w:rsidP="006D5A1E">
      <w:pPr>
        <w:pStyle w:val="KeinLeerraum"/>
      </w:pPr>
    </w:p>
    <w:p w:rsidR="00C7662F" w:rsidRDefault="00C7662F" w:rsidP="00C7662F">
      <w:pPr>
        <w:pStyle w:val="KeinLeerraum"/>
      </w:pPr>
      <w:r>
        <w:t xml:space="preserve">Der </w:t>
      </w:r>
      <w:r w:rsidRPr="00FD6989">
        <w:rPr>
          <w:b/>
        </w:rPr>
        <w:t>BGH</w:t>
      </w:r>
      <w:r>
        <w:t xml:space="preserve"> hat mit Urteil vom 8.12.2017 en</w:t>
      </w:r>
      <w:r>
        <w:t>t</w:t>
      </w:r>
      <w:r>
        <w:t>schieden, dass der Verwalter grundsätzlich verpflichtet ist, die gem. § 10 Abs. 1 Nr. 2 ZVG bevorrechtigten Hausgeldansprüche der Wohnungseigentümergemeinschaft in dem Zwangsversteigerungsverfahren anzumelden, wenn von einem Dritten die Zwangsversteig</w:t>
      </w:r>
      <w:r>
        <w:t>e</w:t>
      </w:r>
      <w:r>
        <w:t>rung in das Sondereigentum eines Wohnung</w:t>
      </w:r>
      <w:r>
        <w:t>s</w:t>
      </w:r>
      <w:r>
        <w:t xml:space="preserve">eigentümers betrieben wird. </w:t>
      </w:r>
    </w:p>
    <w:p w:rsidR="00C7662F" w:rsidRDefault="00C7662F" w:rsidP="00C7662F">
      <w:pPr>
        <w:pStyle w:val="KeinLeerraum"/>
      </w:pPr>
    </w:p>
    <w:p w:rsidR="00C7662F" w:rsidRDefault="00C7662F" w:rsidP="00C7662F">
      <w:pPr>
        <w:pStyle w:val="KeinLeerraum"/>
      </w:pPr>
      <w:r>
        <w:t xml:space="preserve">Der </w:t>
      </w:r>
      <w:r w:rsidRPr="00FD6989">
        <w:rPr>
          <w:b/>
        </w:rPr>
        <w:t>BGH</w:t>
      </w:r>
      <w:r>
        <w:t xml:space="preserve"> hat mit Urteil vom 23.06.2017 en</w:t>
      </w:r>
      <w:r>
        <w:t>t</w:t>
      </w:r>
      <w:r>
        <w:t>schieden, dass, wenn der Ersteher der erste</w:t>
      </w:r>
      <w:r>
        <w:t>i</w:t>
      </w:r>
      <w:r>
        <w:t>gerten Immobilie diese eigenmächtig in Besitz nimmt, ihn die Obliegenheit trifft, ein Ve</w:t>
      </w:r>
      <w:r>
        <w:t>r</w:t>
      </w:r>
      <w:r>
        <w:t>zeichnis über die in der Immobilie vorgefu</w:t>
      </w:r>
      <w:r>
        <w:t>n</w:t>
      </w:r>
      <w:r>
        <w:t xml:space="preserve">denen, vom Zuschlagsbeschluss nicht erfassten Gegenstände zu erstellen und deren Wert schätzen zu lassen. Kommt er dem nicht nach, muss er beweisen, in wieweit die Angaben des Schuldners zu dem Bestand, Zustand und Wert der Gegenstände, die sich im Zeitpunkt der Räumung in dem Haus befunden haben sollen, </w:t>
      </w:r>
      <w:r w:rsidR="007D431F">
        <w:t>unzutreffend</w:t>
      </w:r>
      <w:r>
        <w:t xml:space="preserve"> sind, soweit dessen Angaben plausibel sind. </w:t>
      </w:r>
    </w:p>
    <w:p w:rsidR="00C7662F" w:rsidRDefault="00C7662F" w:rsidP="00C7662F">
      <w:pPr>
        <w:pStyle w:val="KeinLeerraum"/>
      </w:pPr>
    </w:p>
    <w:p w:rsidR="00C7662F" w:rsidRDefault="00466682" w:rsidP="00C7662F">
      <w:pPr>
        <w:pStyle w:val="KeinLeerraum"/>
      </w:pPr>
      <w:r>
        <w:t xml:space="preserve">Das </w:t>
      </w:r>
      <w:r w:rsidRPr="00FD6989">
        <w:rPr>
          <w:b/>
        </w:rPr>
        <w:t>OL</w:t>
      </w:r>
      <w:r w:rsidR="00C7662F" w:rsidRPr="00FD6989">
        <w:rPr>
          <w:b/>
        </w:rPr>
        <w:t>G München</w:t>
      </w:r>
      <w:r w:rsidR="00C7662F">
        <w:t xml:space="preserve"> hat mit Beschluss vom </w:t>
      </w:r>
      <w:r w:rsidR="007D431F">
        <w:t>0</w:t>
      </w:r>
      <w:r w:rsidR="00C7662F">
        <w:t>4.</w:t>
      </w:r>
      <w:r w:rsidR="007D431F">
        <w:t>0</w:t>
      </w:r>
      <w:r w:rsidR="00C7662F">
        <w:t xml:space="preserve">9.2017 entschieden, dass grundsätzlich ein Rechtsschutzbedürfnis für </w:t>
      </w:r>
      <w:r w:rsidR="007D431F">
        <w:t xml:space="preserve">eine </w:t>
      </w:r>
      <w:r w:rsidR="00C7662F">
        <w:t>einstweilige Verfügung auf Unterlassung einer Unterve</w:t>
      </w:r>
      <w:r w:rsidR="00C7662F">
        <w:t>r</w:t>
      </w:r>
      <w:r w:rsidR="00C7662F">
        <w:t xml:space="preserve">mietung nach Erlass eines Räumungsurteils besteht, da das Verfahren zur </w:t>
      </w:r>
      <w:r w:rsidR="007D431F">
        <w:t>Klausel U</w:t>
      </w:r>
      <w:r w:rsidR="007D431F">
        <w:t>m</w:t>
      </w:r>
      <w:r w:rsidR="007D431F">
        <w:t>schreibung</w:t>
      </w:r>
      <w:r w:rsidR="00C7662F">
        <w:t xml:space="preserve"> nach § 727 Abs. 1 ZPO die Zwangsvollstreckung erschwert und der Nachweis des Besitzes durch einen Dritten regelmäßig nur schwer erbracht werden kann. </w:t>
      </w:r>
    </w:p>
    <w:p w:rsidR="00C7662F" w:rsidRDefault="00C7662F" w:rsidP="00C7662F">
      <w:pPr>
        <w:pStyle w:val="KeinLeerraum"/>
      </w:pPr>
    </w:p>
    <w:p w:rsidR="00C7662F" w:rsidRDefault="00C7662F" w:rsidP="00C7662F">
      <w:pPr>
        <w:pStyle w:val="KeinLeerraum"/>
      </w:pPr>
      <w:r>
        <w:t xml:space="preserve">Das </w:t>
      </w:r>
      <w:r w:rsidRPr="00FD6989">
        <w:rPr>
          <w:b/>
        </w:rPr>
        <w:t>Landgericht München</w:t>
      </w:r>
      <w:r>
        <w:t xml:space="preserve"> hat mit Beschluss vom 24.05.2017 entschieden, dass ein Rä</w:t>
      </w:r>
      <w:r>
        <w:t>u</w:t>
      </w:r>
      <w:r>
        <w:t xml:space="preserve">mungstitel </w:t>
      </w:r>
      <w:r w:rsidR="007D431F">
        <w:t>den</w:t>
      </w:r>
      <w:r>
        <w:t xml:space="preserve"> Bestimmtheitsanforderungen genügt, wenn die Angabe des Stockwerks des Vollstreckungsobjekts sowie die Angabe links, Mitte oder rechts angegeben ist. Den B</w:t>
      </w:r>
      <w:r>
        <w:t>e</w:t>
      </w:r>
      <w:r>
        <w:t>stimmtheitsanforderungen genügt ebenfalls ein Räumungstitel mit Angabe der Wohnung</w:t>
      </w:r>
      <w:r>
        <w:t>s</w:t>
      </w:r>
      <w:r>
        <w:t xml:space="preserve">nummer nach einem Aufteilungsplan. </w:t>
      </w:r>
    </w:p>
    <w:p w:rsidR="00C7662F" w:rsidRDefault="00C7662F" w:rsidP="00C7662F">
      <w:pPr>
        <w:pStyle w:val="KeinLeerraum"/>
      </w:pPr>
    </w:p>
    <w:p w:rsidR="00C7662F" w:rsidRDefault="00C7662F" w:rsidP="00C7662F">
      <w:pPr>
        <w:pStyle w:val="KeinLeerraum"/>
      </w:pPr>
    </w:p>
    <w:p w:rsidR="00FD6989" w:rsidRDefault="00C7662F" w:rsidP="00C7662F">
      <w:pPr>
        <w:pStyle w:val="KeinLeerraum"/>
      </w:pPr>
      <w:r>
        <w:t xml:space="preserve">Das </w:t>
      </w:r>
      <w:r w:rsidRPr="00FD6989">
        <w:rPr>
          <w:b/>
        </w:rPr>
        <w:t>Landgericht München</w:t>
      </w:r>
      <w:r>
        <w:t xml:space="preserve"> hat mit Urteil vom 18.01.2018 entschieden, dass der Vermi</w:t>
      </w:r>
      <w:r>
        <w:t>e</w:t>
      </w:r>
      <w:r>
        <w:t xml:space="preserve">ter zwar grundsätzlich innerhalb eines Jahres über die Betriebskosten abzurechnen hat. Er hat aber eine verspätete Abrechnung nicht zu vertreten, wenn aufgrund eines Rechtsstreits innerhalb </w:t>
      </w:r>
      <w:r w:rsidR="007D431F">
        <w:t>der Wohnungseigentümergemei</w:t>
      </w:r>
      <w:r w:rsidR="007D431F">
        <w:t>n</w:t>
      </w:r>
      <w:r w:rsidR="007D431F">
        <w:t>schaft</w:t>
      </w:r>
      <w:r>
        <w:t xml:space="preserve"> keine Einzelabrechnung</w:t>
      </w:r>
      <w:r w:rsidR="00ED0750">
        <w:t xml:space="preserve"> über die Hei</w:t>
      </w:r>
      <w:r w:rsidR="00ED0750">
        <w:t>z</w:t>
      </w:r>
      <w:r w:rsidR="00ED0750">
        <w:t>kosten vorliegt. Der Vermieter kann den En</w:t>
      </w:r>
      <w:r w:rsidR="00ED0750">
        <w:t>t</w:t>
      </w:r>
      <w:r w:rsidR="00ED0750">
        <w:t>lastung</w:t>
      </w:r>
      <w:r w:rsidR="00ED0750">
        <w:t>s</w:t>
      </w:r>
      <w:r w:rsidR="00ED0750">
        <w:t xml:space="preserve">beweis, dass ihn an der </w:t>
      </w:r>
      <w:r w:rsidR="007D431F">
        <w:t>verspäteten</w:t>
      </w:r>
      <w:r w:rsidR="00ED0750">
        <w:t xml:space="preserve"> Abrec</w:t>
      </w:r>
      <w:r w:rsidR="00ED0750">
        <w:t>h</w:t>
      </w:r>
      <w:r w:rsidR="00FD6989">
        <w:t xml:space="preserve">nung kein Verschulden trifft, </w:t>
      </w:r>
      <w:r w:rsidR="00ED0750">
        <w:t>dadurch führen, dass er einen Rechtsstreit innerhalb der Wo</w:t>
      </w:r>
      <w:r w:rsidR="00ED0750">
        <w:t>h</w:t>
      </w:r>
      <w:r w:rsidR="00ED0750">
        <w:t xml:space="preserve">nungseigentümergemeinschaft darlegt. </w:t>
      </w:r>
    </w:p>
    <w:p w:rsidR="00ED0750" w:rsidRDefault="00ED0750" w:rsidP="00C7662F">
      <w:pPr>
        <w:pStyle w:val="KeinLeerraum"/>
      </w:pPr>
    </w:p>
    <w:p w:rsidR="00ED0750" w:rsidRDefault="00ED0750" w:rsidP="00C7662F">
      <w:pPr>
        <w:pStyle w:val="KeinLeerraum"/>
      </w:pPr>
      <w:r>
        <w:t xml:space="preserve">Das </w:t>
      </w:r>
      <w:r w:rsidRPr="00FD6989">
        <w:rPr>
          <w:b/>
        </w:rPr>
        <w:t>Landgericht Lübeck</w:t>
      </w:r>
      <w:r>
        <w:t xml:space="preserve"> hat mit Urteil vom 17.11.2017 entschieden, dass dann, wenn der Mieter das Vorhandensein eines </w:t>
      </w:r>
      <w:r w:rsidR="007D431F">
        <w:t>Mangels</w:t>
      </w:r>
      <w:r>
        <w:t xml:space="preserve"> b</w:t>
      </w:r>
      <w:r>
        <w:t>e</w:t>
      </w:r>
      <w:r>
        <w:t>wiesen hat, es dem Vermieter nach der sog. Gefahrkreistheorie obliegt, zu beweisen, dass der Schimmel nicht auf bauseitigen Ursachen beruht. Dem Mieter ist nur ein täglich zweim</w:t>
      </w:r>
      <w:r>
        <w:t>a</w:t>
      </w:r>
      <w:r>
        <w:t>liges Stoßlüften von jeweils fünf bis zehn M</w:t>
      </w:r>
      <w:r>
        <w:t>i</w:t>
      </w:r>
      <w:r>
        <w:t xml:space="preserve">nuten zuzumuten. Möbel dürfen grundsätzlich auch an Außenwänden aufgestellt werden. Weil bereits die </w:t>
      </w:r>
      <w:r w:rsidR="007D431F">
        <w:t>abstrakte</w:t>
      </w:r>
      <w:r>
        <w:t xml:space="preserve"> Gefahr einer Schimmelbildung bei ordnungsgemäßer B</w:t>
      </w:r>
      <w:r>
        <w:t>e</w:t>
      </w:r>
      <w:r>
        <w:t xml:space="preserve">heizung und Belüftung stellt einen Mangel der Mietsache dar. </w:t>
      </w:r>
    </w:p>
    <w:p w:rsidR="00ED0750" w:rsidRDefault="00ED0750" w:rsidP="00C7662F">
      <w:pPr>
        <w:pStyle w:val="KeinLeerraum"/>
      </w:pPr>
    </w:p>
    <w:p w:rsidR="00ED0750" w:rsidRDefault="007D431F" w:rsidP="00C7662F">
      <w:pPr>
        <w:pStyle w:val="KeinLeerraum"/>
      </w:pPr>
      <w:r>
        <w:t xml:space="preserve">Das </w:t>
      </w:r>
      <w:r w:rsidRPr="00FD6989">
        <w:rPr>
          <w:b/>
        </w:rPr>
        <w:t>Landgericht Berlin</w:t>
      </w:r>
      <w:r>
        <w:t xml:space="preserve"> hat mit Urteil vom 14.06.2017 entschieden, dass </w:t>
      </w:r>
      <w:r w:rsidR="00ED1241">
        <w:t>nächtliche</w:t>
      </w:r>
      <w:r>
        <w:t xml:space="preserve"> G</w:t>
      </w:r>
      <w:r>
        <w:t>e</w:t>
      </w:r>
      <w:r>
        <w:t>räuschemissionen, insbesondere Straßenbaua</w:t>
      </w:r>
      <w:r>
        <w:t>r</w:t>
      </w:r>
      <w:r>
        <w:t>beiten, auf die der Vermieter keinen Ei</w:t>
      </w:r>
      <w:r>
        <w:t>n</w:t>
      </w:r>
      <w:r>
        <w:t>fluss hat, in einer Großstadt grundsätzlich keinen zur Mietminderung berechtigenden Ma</w:t>
      </w:r>
      <w:r>
        <w:t>n</w:t>
      </w:r>
      <w:r>
        <w:t xml:space="preserve">gel der Mietsache darstellt. </w:t>
      </w:r>
    </w:p>
    <w:p w:rsidR="00ED0750" w:rsidRDefault="00ED0750" w:rsidP="00C7662F">
      <w:pPr>
        <w:pStyle w:val="KeinLeerraum"/>
      </w:pPr>
    </w:p>
    <w:p w:rsidR="00ED0750" w:rsidRDefault="00466682" w:rsidP="00C7662F">
      <w:pPr>
        <w:pStyle w:val="KeinLeerraum"/>
      </w:pPr>
      <w:r>
        <w:t xml:space="preserve">Das </w:t>
      </w:r>
      <w:r w:rsidRPr="00ED1241">
        <w:rPr>
          <w:b/>
        </w:rPr>
        <w:t>OL</w:t>
      </w:r>
      <w:r w:rsidR="00ED0750" w:rsidRPr="00ED1241">
        <w:rPr>
          <w:b/>
        </w:rPr>
        <w:t>G Hamm</w:t>
      </w:r>
      <w:r w:rsidR="00ED0750">
        <w:t xml:space="preserve"> hat mit Urteil vom 25.01.</w:t>
      </w:r>
      <w:r w:rsidR="00ED1241">
        <w:t xml:space="preserve"> </w:t>
      </w:r>
      <w:r w:rsidR="00ED0750">
        <w:t>2018 entschieden, dass eine drei Mill</w:t>
      </w:r>
      <w:r w:rsidR="00ED0750">
        <w:t>i</w:t>
      </w:r>
      <w:r w:rsidR="00ED0750">
        <w:t>meter starke Folie zur Trittschalldämmung, die u</w:t>
      </w:r>
      <w:r w:rsidR="00ED0750">
        <w:t>n</w:t>
      </w:r>
      <w:r w:rsidR="00ED0750">
        <w:t>terhalb des Oberbodens verlegt wird, kein G</w:t>
      </w:r>
      <w:r w:rsidR="00ED0750">
        <w:t>e</w:t>
      </w:r>
      <w:r w:rsidR="00ED0750">
        <w:t>meinschaftseigentum darstellt, sondern So</w:t>
      </w:r>
      <w:r w:rsidR="00ED0750">
        <w:t>n</w:t>
      </w:r>
      <w:r w:rsidR="00ED0750">
        <w:t>dere</w:t>
      </w:r>
      <w:r w:rsidR="00ED0750">
        <w:t>i</w:t>
      </w:r>
      <w:r w:rsidR="00ED0750">
        <w:t>gentum ist. Es kann nicht allein auf die bloße Funktion der Folie, die den Trittschal</w:t>
      </w:r>
      <w:r w:rsidR="00ED0750">
        <w:t>l</w:t>
      </w:r>
      <w:r w:rsidR="00ED0750">
        <w:t>schutz gewährleisten soll, abgestellt we</w:t>
      </w:r>
      <w:r w:rsidR="00ED0750">
        <w:t>r</w:t>
      </w:r>
      <w:r w:rsidR="00ED0750">
        <w:t>den. Eine Hausverwaltung, die eine Wassersch</w:t>
      </w:r>
      <w:r w:rsidR="00ED0750">
        <w:t>a</w:t>
      </w:r>
      <w:r w:rsidR="00ED0750">
        <w:t>densani</w:t>
      </w:r>
      <w:r w:rsidR="00ED0750">
        <w:t>e</w:t>
      </w:r>
      <w:r w:rsidR="00ED0750">
        <w:t>rung in Auftrag gibt, haftet im Zweifel als Vertreterin ohne Vertretungsmach</w:t>
      </w:r>
      <w:r w:rsidR="00ED1241">
        <w:t>t (§ 179 BGB), wenn sie keinen W</w:t>
      </w:r>
      <w:r w:rsidR="00ED0750">
        <w:t>EG-Beschluss he</w:t>
      </w:r>
      <w:r w:rsidR="00ED0750">
        <w:t>r</w:t>
      </w:r>
      <w:r w:rsidR="00ED0750">
        <w:t>beiführt.</w:t>
      </w:r>
    </w:p>
    <w:p w:rsidR="00ED0750" w:rsidRDefault="00ED0750" w:rsidP="00C7662F">
      <w:pPr>
        <w:pStyle w:val="KeinLeerraum"/>
      </w:pPr>
    </w:p>
    <w:p w:rsidR="00ED0750" w:rsidRDefault="00ED0750" w:rsidP="00C7662F">
      <w:pPr>
        <w:pStyle w:val="KeinLeerraum"/>
      </w:pPr>
      <w:r>
        <w:lastRenderedPageBreak/>
        <w:t xml:space="preserve">Das </w:t>
      </w:r>
      <w:r w:rsidRPr="00ED1241">
        <w:rPr>
          <w:b/>
        </w:rPr>
        <w:t>Landgericht Hamburg</w:t>
      </w:r>
      <w:r>
        <w:t xml:space="preserve"> hat mit Beschluss vom 20.</w:t>
      </w:r>
      <w:r w:rsidR="007D431F">
        <w:t>0</w:t>
      </w:r>
      <w:r>
        <w:t>9.2017 entschieden, dass dann, wenn ein Wohnungseigentümer die sofortige Ab</w:t>
      </w:r>
      <w:r w:rsidR="00ED1241">
        <w:t>b</w:t>
      </w:r>
      <w:r w:rsidR="00ED1241">
        <w:t>e</w:t>
      </w:r>
      <w:r>
        <w:t xml:space="preserve">rufung des Verwalters aus wichtigem Grund begehrt, der Streitwert anhand des in der </w:t>
      </w:r>
      <w:r w:rsidR="00ED1241">
        <w:t>restl</w:t>
      </w:r>
      <w:r w:rsidR="00ED1241">
        <w:t>i</w:t>
      </w:r>
      <w:r w:rsidR="00ED1241">
        <w:t>chen</w:t>
      </w:r>
      <w:r>
        <w:t xml:space="preserve"> Vertragslaufzeit anfallenden Verwalte</w:t>
      </w:r>
      <w:r>
        <w:t>r</w:t>
      </w:r>
      <w:r>
        <w:t xml:space="preserve">honorars festgesetzt werden kann. </w:t>
      </w:r>
    </w:p>
    <w:p w:rsidR="00ED0750" w:rsidRDefault="00ED0750" w:rsidP="00C7662F">
      <w:pPr>
        <w:pStyle w:val="KeinLeerraum"/>
      </w:pPr>
    </w:p>
    <w:p w:rsidR="00C7662F" w:rsidRDefault="00C7662F" w:rsidP="00C7662F">
      <w:pPr>
        <w:pStyle w:val="KeinLeerraum"/>
      </w:pPr>
      <w:r>
        <w:t xml:space="preserve">Der </w:t>
      </w:r>
      <w:r w:rsidRPr="00ED1241">
        <w:rPr>
          <w:b/>
        </w:rPr>
        <w:t>BGH</w:t>
      </w:r>
      <w:r>
        <w:t xml:space="preserve"> hat mit Beschluss vom 14.11.2017 entschieden, dass eine Beweisaufnahme im selbständigen Beweisverfahren wie eine im unmittelbar anschließenden Hauptsacheverfa</w:t>
      </w:r>
      <w:r>
        <w:t>h</w:t>
      </w:r>
      <w:r>
        <w:t>ren selbst durchgeführte Beweiserhebung zu bewerten ist. Sie kann verwertet werden, als sei sie vor dem Prozessgericht selbst erfolgt. Ein neues Gutachten kann nur unter den engen Voraussetzungen des § 412 ZBO eingeholt werden. Die Verwertung eines in einem and</w:t>
      </w:r>
      <w:r>
        <w:t>e</w:t>
      </w:r>
      <w:r>
        <w:t>ren Verfahren eingeholten Gutachtens gem. § 411a Abs. 1 ZBO setzt eine Verwertungsa</w:t>
      </w:r>
      <w:r>
        <w:t>n</w:t>
      </w:r>
      <w:r>
        <w:t>ordnung des Gerichts voraus, zu deren Erlass oder Ausführung des Parteien Gelegenheit zur Stellungnahme gegeben werden muss. Ein bereits im selbständigen Beweisverfahren g</w:t>
      </w:r>
      <w:r>
        <w:t>e</w:t>
      </w:r>
      <w:r>
        <w:t>stellter - und bisher unerledigt gebliebener – Antrag auf mündliche Anhörung des Sachve</w:t>
      </w:r>
      <w:r>
        <w:t>r</w:t>
      </w:r>
      <w:r>
        <w:t xml:space="preserve">ständigen wirkt im Hauptsacheverfahren grundsätzlich fort. </w:t>
      </w:r>
    </w:p>
    <w:p w:rsidR="00C7662F" w:rsidRDefault="00C7662F" w:rsidP="00C7662F">
      <w:pPr>
        <w:pStyle w:val="KeinLeerraum"/>
        <w:rPr>
          <w:rFonts w:cs="Times New Roman"/>
        </w:rPr>
      </w:pPr>
    </w:p>
    <w:p w:rsidR="009A5D8D" w:rsidRDefault="00577F14" w:rsidP="009A5D8D">
      <w:pPr>
        <w:pStyle w:val="KeinLeerraum"/>
      </w:pPr>
      <w:r w:rsidRPr="00577F14">
        <w:t xml:space="preserve">Der </w:t>
      </w:r>
      <w:r w:rsidRPr="00ED1241">
        <w:rPr>
          <w:b/>
        </w:rPr>
        <w:t>BGH</w:t>
      </w:r>
      <w:r w:rsidRPr="00577F14">
        <w:t xml:space="preserve"> hat Folgendes entschieden: Nach Kündigung des Mietvertrags gab die Mieterin die Wohnung zwei Monate vor Beendigung des Mietverhältnisses an die Vermieterin z</w:t>
      </w:r>
      <w:r w:rsidRPr="00577F14">
        <w:t>u</w:t>
      </w:r>
      <w:r w:rsidRPr="00577F14">
        <w:t>rück. Nachdem diese die Mieterin vergeblich zu Instandsetzungsarbeiten aufgefordert hatte, verklagte sie die Mieterin 10 Monaten nach deren Auszug auf Schadensersatz. Die Miet</w:t>
      </w:r>
      <w:r w:rsidRPr="00577F14">
        <w:t>e</w:t>
      </w:r>
      <w:r w:rsidRPr="00577F14">
        <w:t xml:space="preserve">rin verweigerte die Zahlung und berief sich darauf, dass der Anspruch wegen Ablaufs der 6-monatigen gesetzlichen Frist </w:t>
      </w:r>
      <w:r>
        <w:t>verhährt sei.</w:t>
      </w:r>
      <w:r w:rsidRPr="00577F14">
        <w:t xml:space="preserve"> </w:t>
      </w:r>
      <w:r>
        <w:t xml:space="preserve">Daraufhin </w:t>
      </w:r>
      <w:r w:rsidRPr="00577F14">
        <w:t>verwies die Vermieterin auf den Mietvertrag, wo festgehalten war, dass die Ansprüche des Vermieters wegen Verschlec</w:t>
      </w:r>
      <w:r w:rsidRPr="00577F14">
        <w:t>h</w:t>
      </w:r>
      <w:r w:rsidRPr="00577F14">
        <w:t>terung der Mietsache erst in 12 Monaten nach Beendigung des Mietverhältnisses verjähren. Das Gericht wies die Klage ab. Eine derartige Vertragsklausel ist wegen unangemessener Benachteiligung des Mieters unwirksam. Der Mieter hat nach Rückgabe der Mietsache an den Vermieter keinen Zugriff mehr auf die Mietsache und kann ab diesem Zeitpunkt r</w:t>
      </w:r>
      <w:r w:rsidRPr="00577F14">
        <w:t>e</w:t>
      </w:r>
      <w:r w:rsidRPr="00577F14">
        <w:t>gelmäßig auch keine beweissichernde in Fes</w:t>
      </w:r>
      <w:r w:rsidRPr="00577F14">
        <w:t>t</w:t>
      </w:r>
      <w:r w:rsidRPr="00577F14">
        <w:t>stellungen mehr treffen. Demgegenüber wird der Vermieter durch die Rückgabe der Miets</w:t>
      </w:r>
      <w:r w:rsidRPr="00577F14">
        <w:t>a</w:t>
      </w:r>
      <w:r w:rsidRPr="00577F14">
        <w:t>che in die Lage versetzt, sich Klarheit darüber zu verschaffen, ob ihm gegen den Mietera</w:t>
      </w:r>
      <w:r w:rsidRPr="00577F14">
        <w:t>n</w:t>
      </w:r>
      <w:r w:rsidRPr="00577F14">
        <w:lastRenderedPageBreak/>
        <w:t>sprüche wegen Verschlechterung oder Verä</w:t>
      </w:r>
      <w:r w:rsidRPr="00577F14">
        <w:t>n</w:t>
      </w:r>
      <w:r w:rsidRPr="00577F14">
        <w:t xml:space="preserve">derung der Mietsache zustehen und kann diese gegebenenfalls innerhalb der 6-monatigen Verjährungsfrist durchsetzen. </w:t>
      </w:r>
    </w:p>
    <w:p w:rsidR="00466682" w:rsidRDefault="00466682" w:rsidP="009A5D8D">
      <w:pPr>
        <w:pStyle w:val="KeinLeerraum"/>
      </w:pPr>
    </w:p>
    <w:p w:rsidR="009A5D8D" w:rsidRDefault="00466682" w:rsidP="009A5D8D">
      <w:pPr>
        <w:pStyle w:val="KeinLeerraum"/>
      </w:pPr>
      <w:r w:rsidRPr="00466682">
        <w:t xml:space="preserve">Das </w:t>
      </w:r>
      <w:r w:rsidRPr="00ED1241">
        <w:rPr>
          <w:b/>
        </w:rPr>
        <w:t>Landgericht Fulda</w:t>
      </w:r>
      <w:r w:rsidRPr="00466682">
        <w:t xml:space="preserve"> hat mit Beschluss vom 05.01.2018 entschieden, dass der Vermi</w:t>
      </w:r>
      <w:r w:rsidRPr="00466682">
        <w:t>e</w:t>
      </w:r>
      <w:r w:rsidRPr="00466682">
        <w:t>ter auch in den Sommermonaten sicherstellen muss, dass die Warmwasserversorgung durc</w:t>
      </w:r>
      <w:r w:rsidRPr="00466682">
        <w:t>h</w:t>
      </w:r>
      <w:r>
        <w:t>gehend gewährleistet ist. I</w:t>
      </w:r>
      <w:r w:rsidRPr="00466682">
        <w:t>n dem vom Landg</w:t>
      </w:r>
      <w:r w:rsidRPr="00466682">
        <w:t>e</w:t>
      </w:r>
      <w:r w:rsidRPr="00466682">
        <w:t>richt Fulda entschiedenen Eilrechtsschutzve</w:t>
      </w:r>
      <w:r w:rsidRPr="00466682">
        <w:t>r</w:t>
      </w:r>
      <w:r w:rsidRPr="00466682">
        <w:t>fahren begehr</w:t>
      </w:r>
      <w:r>
        <w:t>t</w:t>
      </w:r>
      <w:r w:rsidRPr="00466682">
        <w:t>e die Mieterin die Wiederhe</w:t>
      </w:r>
      <w:r w:rsidRPr="00466682">
        <w:t>r</w:t>
      </w:r>
      <w:r w:rsidRPr="00466682">
        <w:t>stellung</w:t>
      </w:r>
      <w:r>
        <w:t xml:space="preserve"> der Warmwasserversorgung, die b</w:t>
      </w:r>
      <w:r w:rsidRPr="00466682">
        <w:t>renn</w:t>
      </w:r>
      <w:r>
        <w:t>stoffmangelbedingt ausgefallen ist. I</w:t>
      </w:r>
      <w:r w:rsidRPr="00466682">
        <w:t xml:space="preserve">m Rahmen </w:t>
      </w:r>
      <w:r>
        <w:t>der</w:t>
      </w:r>
      <w:r w:rsidRPr="00466682">
        <w:t xml:space="preserve"> ordnungsgemäßen Gebrauch</w:t>
      </w:r>
      <w:r w:rsidRPr="00466682">
        <w:t>s</w:t>
      </w:r>
      <w:r w:rsidRPr="00466682">
        <w:t>überlassung der Mietsache hat der Vermieter auch im Sommer dafür Sorge zu tragen, dass durc</w:t>
      </w:r>
      <w:r w:rsidRPr="00466682">
        <w:t>h</w:t>
      </w:r>
      <w:r w:rsidRPr="00466682">
        <w:t>gehend eine Belieferung des Mieters mit wa</w:t>
      </w:r>
      <w:r w:rsidRPr="00466682">
        <w:t>r</w:t>
      </w:r>
      <w:r w:rsidRPr="00466682">
        <w:t>mem Wasser erfolgt. Ein Zuwarten auch nur wenige Tage ist dem Mieter mit Blick auf seine Körperhygiene nicht zumutbar. Der Vermieter muss sich daher rechtzeitig darum kümmern, dass ausreichend Brennstoffvorräte vorgeh</w:t>
      </w:r>
      <w:r>
        <w:t>alten werden, damit es zu keinem</w:t>
      </w:r>
      <w:r w:rsidRPr="00466682">
        <w:t xml:space="preserve"> He</w:t>
      </w:r>
      <w:r w:rsidRPr="00466682">
        <w:t>i</w:t>
      </w:r>
      <w:r w:rsidRPr="00466682">
        <w:t>zungsausfall kommt. Die Mieterin kann auch nicht vorgehalten werden, den Vermieter z</w:t>
      </w:r>
      <w:r w:rsidRPr="00466682">
        <w:t>u</w:t>
      </w:r>
      <w:r w:rsidRPr="00466682">
        <w:t>nächst außergerichtlich zur Wiederherstellung der Warmwasserversorgung aufgefordert zu haben. Damit hat sie angesichts der kurzen zeitlichen Abfolge nicht ihrer Pflicht zur schnellstmöglichen Dur</w:t>
      </w:r>
      <w:r>
        <w:t>chsetzung ihrer Rechte verletzt.</w:t>
      </w:r>
    </w:p>
    <w:p w:rsidR="00466682" w:rsidRDefault="00466682" w:rsidP="009A5D8D">
      <w:pPr>
        <w:pStyle w:val="KeinLeerraum"/>
      </w:pPr>
    </w:p>
    <w:p w:rsidR="00466682" w:rsidRDefault="00466682" w:rsidP="009A5D8D">
      <w:pPr>
        <w:pStyle w:val="KeinLeerraum"/>
      </w:pPr>
      <w:r w:rsidRPr="00466682">
        <w:t xml:space="preserve">Mit Urteil vom 22.11.2017 hat der </w:t>
      </w:r>
      <w:r w:rsidRPr="00466682">
        <w:rPr>
          <w:b/>
        </w:rPr>
        <w:t>BGH</w:t>
      </w:r>
      <w:r w:rsidRPr="00466682">
        <w:t xml:space="preserve"> en</w:t>
      </w:r>
      <w:r w:rsidRPr="00466682">
        <w:t>t</w:t>
      </w:r>
      <w:r w:rsidRPr="00466682">
        <w:t>schieden, dass im Erhöhungsverlangen des Vermieters eine vereinbarten Indexmiete b</w:t>
      </w:r>
      <w:r w:rsidRPr="00466682">
        <w:t>e</w:t>
      </w:r>
      <w:r w:rsidRPr="00466682">
        <w:t>treffend Angaben zur prozentualen Steigerung der Inde</w:t>
      </w:r>
      <w:r>
        <w:t>xdaten nicht erforderlich sind. I</w:t>
      </w:r>
      <w:r w:rsidRPr="00466682">
        <w:t>n e</w:t>
      </w:r>
      <w:r w:rsidRPr="00466682">
        <w:t>i</w:t>
      </w:r>
      <w:r w:rsidRPr="00466682">
        <w:t>nem vom BGH entschiedenen Verfahren eini</w:t>
      </w:r>
      <w:r w:rsidRPr="00466682">
        <w:t>g</w:t>
      </w:r>
      <w:r w:rsidRPr="00466682">
        <w:t>ten sich die Parteien auf eine Indexklausel zur Anpassung der vereinbarten Miete. Als deren Voraussetzungen erfüllt sind, teilen die Ve</w:t>
      </w:r>
      <w:r w:rsidRPr="00466682">
        <w:t>r</w:t>
      </w:r>
      <w:r w:rsidRPr="00466682">
        <w:t>mieter die Mieter mit, dass sich die Miete um einen bestimmten, dem indexierten Wert en</w:t>
      </w:r>
      <w:r w:rsidRPr="00466682">
        <w:t>t</w:t>
      </w:r>
      <w:r w:rsidRPr="00466682">
        <w:t>sprechenden Betrag erhöht. Als der Mieter nicht zahlt, erfolgt eine Verrechnung der Fo</w:t>
      </w:r>
      <w:r w:rsidRPr="00466682">
        <w:t>r</w:t>
      </w:r>
      <w:r w:rsidRPr="00466682">
        <w:t>derung bei Mietende mit der Kaution, die nunmehr herausverlangt wird. Der BGH weist die Klage ab. Ein Anspruch auf Rückzahlung der Kaution besteht nicht, weil der Vermieter mit seinen Forderungen aufrechnen kann. Denn die Erhöhung der Miete wurde or</w:t>
      </w:r>
      <w:r w:rsidRPr="00466682">
        <w:t>d</w:t>
      </w:r>
      <w:r w:rsidRPr="00466682">
        <w:t>nungsgemäß durchgeführt. Unter Einhaltung der Textform werden die Änderungen des Preisindexes, die bisherige Miete, der Erh</w:t>
      </w:r>
      <w:r w:rsidRPr="00466682">
        <w:t>ö</w:t>
      </w:r>
      <w:r w:rsidRPr="00466682">
        <w:t>hungsbetrag und die neue Miete angegeben. Nicht erforderlich ist, dass der Vermieter auch noch die prozentuale Veränderung der I</w:t>
      </w:r>
      <w:r w:rsidRPr="00466682">
        <w:t>n</w:t>
      </w:r>
      <w:r w:rsidRPr="00466682">
        <w:t>dexdaten angibt, weil diese durch Rechenop</w:t>
      </w:r>
      <w:r w:rsidRPr="00466682">
        <w:t>e</w:t>
      </w:r>
      <w:r>
        <w:t>ration leicht ermittelbar ist.</w:t>
      </w:r>
    </w:p>
    <w:p w:rsidR="009A5D8D" w:rsidRDefault="009A5D8D" w:rsidP="009A5D8D">
      <w:pPr>
        <w:pStyle w:val="KeinLeerraum"/>
        <w:rPr>
          <w:rFonts w:cs="Times New Roman"/>
        </w:rPr>
      </w:pPr>
    </w:p>
    <w:p w:rsidR="00761A87" w:rsidRDefault="00FD6989" w:rsidP="009A5D8D">
      <w:pPr>
        <w:pStyle w:val="KeinLeerraum"/>
        <w:rPr>
          <w:rFonts w:cs="Times New Roman"/>
        </w:rPr>
      </w:pPr>
      <w:r w:rsidRPr="00FD6989">
        <w:rPr>
          <w:rFonts w:cs="Times New Roman"/>
        </w:rPr>
        <w:t xml:space="preserve">Der </w:t>
      </w:r>
      <w:r w:rsidRPr="00FD6989">
        <w:rPr>
          <w:rFonts w:cs="Times New Roman"/>
          <w:b/>
        </w:rPr>
        <w:t>BGH</w:t>
      </w:r>
      <w:r w:rsidRPr="00FD6989">
        <w:rPr>
          <w:rFonts w:cs="Times New Roman"/>
        </w:rPr>
        <w:t xml:space="preserve"> hat mit Urteil vom 27.09.2017 Fo</w:t>
      </w:r>
      <w:r w:rsidRPr="00FD6989">
        <w:rPr>
          <w:rFonts w:cs="Times New Roman"/>
        </w:rPr>
        <w:t>l</w:t>
      </w:r>
      <w:r w:rsidRPr="00FD6989">
        <w:rPr>
          <w:rFonts w:cs="Times New Roman"/>
        </w:rPr>
        <w:t>gendes entschieden: Ist durch Auflaufen eines Zahlungsrückstands des Mieters in der in § 543 Abs. 2 Satz 1 Nr. 3 lit. a oder lit. b BGB g</w:t>
      </w:r>
      <w:r w:rsidRPr="00FD6989">
        <w:rPr>
          <w:rFonts w:cs="Times New Roman"/>
        </w:rPr>
        <w:t>e</w:t>
      </w:r>
      <w:r w:rsidRPr="00FD6989">
        <w:rPr>
          <w:rFonts w:cs="Times New Roman"/>
        </w:rPr>
        <w:t>nannten Höhe ein Recht des Vermieters zur fristlosen Kündigung des Mietverhältnisses entstanden, wird dieses nach § 543 Abs. 2 Satz 2 BGB nur durch eine vollständige Za</w:t>
      </w:r>
      <w:r w:rsidRPr="00FD6989">
        <w:rPr>
          <w:rFonts w:cs="Times New Roman"/>
        </w:rPr>
        <w:t>h</w:t>
      </w:r>
      <w:r w:rsidRPr="00FD6989">
        <w:rPr>
          <w:rFonts w:cs="Times New Roman"/>
        </w:rPr>
        <w:t>lung des Rückstandes vor Zugang der Künd</w:t>
      </w:r>
      <w:r w:rsidRPr="00FD6989">
        <w:rPr>
          <w:rFonts w:cs="Times New Roman"/>
        </w:rPr>
        <w:t>i</w:t>
      </w:r>
      <w:r w:rsidRPr="00FD6989">
        <w:rPr>
          <w:rFonts w:cs="Times New Roman"/>
        </w:rPr>
        <w:t xml:space="preserve">gung ausgeschlossen. Bei der Beurteilung, ob der Zahlungsrückstand des Mieters die Miete für einen Monat übersteigt ist nicht auf die (berechtigterweise) geminderte Miete, sondern auf die vertraglich vereinbarte Gesamtmiete abzustellen. </w:t>
      </w:r>
    </w:p>
    <w:p w:rsidR="00ED1241" w:rsidRDefault="00ED1241" w:rsidP="009A5D8D">
      <w:pPr>
        <w:pStyle w:val="KeinLeerraum"/>
        <w:rPr>
          <w:rFonts w:cs="Times New Roman"/>
        </w:rPr>
      </w:pPr>
    </w:p>
    <w:p w:rsidR="00ED1241" w:rsidRDefault="00ED1241" w:rsidP="009A5D8D">
      <w:pPr>
        <w:pStyle w:val="KeinLeerraum"/>
        <w:rPr>
          <w:rFonts w:cs="Times New Roman"/>
        </w:rPr>
      </w:pPr>
      <w:r w:rsidRPr="00ED1241">
        <w:rPr>
          <w:rFonts w:cs="Times New Roman"/>
        </w:rPr>
        <w:t xml:space="preserve">Der </w:t>
      </w:r>
      <w:r w:rsidRPr="00ED1241">
        <w:rPr>
          <w:rFonts w:cs="Times New Roman"/>
          <w:b/>
        </w:rPr>
        <w:t>BGH</w:t>
      </w:r>
      <w:r w:rsidRPr="00ED1241">
        <w:rPr>
          <w:rFonts w:cs="Times New Roman"/>
        </w:rPr>
        <w:t xml:space="preserve"> hat mit Urteil vom 25.10.2017 en</w:t>
      </w:r>
      <w:r w:rsidRPr="00ED1241">
        <w:rPr>
          <w:rFonts w:cs="Times New Roman"/>
        </w:rPr>
        <w:t>t</w:t>
      </w:r>
      <w:r w:rsidRPr="00ED1241">
        <w:rPr>
          <w:rFonts w:cs="Times New Roman"/>
        </w:rPr>
        <w:t xml:space="preserve">schieden, dass eine Klausel zur automatischen Verlängerung eines </w:t>
      </w:r>
      <w:r>
        <w:rPr>
          <w:rFonts w:cs="Times New Roman"/>
        </w:rPr>
        <w:t>Werbem</w:t>
      </w:r>
      <w:r w:rsidRPr="00ED1241">
        <w:rPr>
          <w:rFonts w:cs="Times New Roman"/>
        </w:rPr>
        <w:t>ietvertrages w</w:t>
      </w:r>
      <w:r w:rsidRPr="00ED1241">
        <w:rPr>
          <w:rFonts w:cs="Times New Roman"/>
        </w:rPr>
        <w:t>e</w:t>
      </w:r>
      <w:r w:rsidRPr="00ED1241">
        <w:rPr>
          <w:rFonts w:cs="Times New Roman"/>
        </w:rPr>
        <w:t>gen fehlender Transparenz unwirksam ist, wenn bei Vertragsbeginn nicht eindeutig fes</w:t>
      </w:r>
      <w:r w:rsidRPr="00ED1241">
        <w:rPr>
          <w:rFonts w:cs="Times New Roman"/>
        </w:rPr>
        <w:t>t</w:t>
      </w:r>
      <w:r w:rsidRPr="00ED1241">
        <w:rPr>
          <w:rFonts w:cs="Times New Roman"/>
        </w:rPr>
        <w:t>steht, bis wann die Kündigung zur Abwendung der Ve</w:t>
      </w:r>
      <w:r w:rsidRPr="00ED1241">
        <w:rPr>
          <w:rFonts w:cs="Times New Roman"/>
        </w:rPr>
        <w:t>r</w:t>
      </w:r>
      <w:r w:rsidRPr="00ED1241">
        <w:rPr>
          <w:rFonts w:cs="Times New Roman"/>
        </w:rPr>
        <w:t xml:space="preserve">längerung spätestens ausgesprochen werden muss. </w:t>
      </w:r>
    </w:p>
    <w:p w:rsidR="00ED1241" w:rsidRDefault="00ED1241" w:rsidP="009A5D8D">
      <w:pPr>
        <w:pStyle w:val="KeinLeerraum"/>
        <w:rPr>
          <w:rFonts w:cs="Times New Roman"/>
        </w:rPr>
      </w:pPr>
    </w:p>
    <w:p w:rsidR="00ED1241" w:rsidRDefault="00ED1241" w:rsidP="009A5D8D">
      <w:pPr>
        <w:pStyle w:val="KeinLeerraum"/>
        <w:rPr>
          <w:rFonts w:cs="Times New Roman"/>
        </w:rPr>
      </w:pPr>
      <w:r w:rsidRPr="00ED1241">
        <w:rPr>
          <w:rFonts w:cs="Times New Roman"/>
        </w:rPr>
        <w:t xml:space="preserve">Der </w:t>
      </w:r>
      <w:r w:rsidRPr="00ED1241">
        <w:rPr>
          <w:rFonts w:cs="Times New Roman"/>
          <w:b/>
        </w:rPr>
        <w:t>BGH</w:t>
      </w:r>
      <w:r w:rsidRPr="00ED1241">
        <w:rPr>
          <w:rFonts w:cs="Times New Roman"/>
        </w:rPr>
        <w:t xml:space="preserve"> hat mit Urteil vom 27.10.2017 en</w:t>
      </w:r>
      <w:r w:rsidRPr="00ED1241">
        <w:rPr>
          <w:rFonts w:cs="Times New Roman"/>
        </w:rPr>
        <w:t>t</w:t>
      </w:r>
      <w:r w:rsidRPr="00ED1241">
        <w:rPr>
          <w:rFonts w:cs="Times New Roman"/>
        </w:rPr>
        <w:t>schieden, dass eine Übersicht über die Abrec</w:t>
      </w:r>
      <w:r w:rsidRPr="00ED1241">
        <w:rPr>
          <w:rFonts w:cs="Times New Roman"/>
        </w:rPr>
        <w:t>h</w:t>
      </w:r>
      <w:r w:rsidRPr="00ED1241">
        <w:rPr>
          <w:rFonts w:cs="Times New Roman"/>
        </w:rPr>
        <w:t>nungsergebnisse aller Wohnungen und die den Abrechnung</w:t>
      </w:r>
      <w:r>
        <w:rPr>
          <w:rFonts w:cs="Times New Roman"/>
        </w:rPr>
        <w:t>szeitraum betreffenden Hausgeld-rü</w:t>
      </w:r>
      <w:r w:rsidRPr="00ED1241">
        <w:rPr>
          <w:rFonts w:cs="Times New Roman"/>
        </w:rPr>
        <w:t>ckstände nicht notwendiger Bestandteil der Jahresabrechnung i. S. d. § 28 Abs. 3 WEG ist. Der Beschluss der Wohnungseigentümer über die Genehmigung der Jahresabrechnung ist infolgedessen nicht allein deshalb anfechtbar, weil der Verwalter eine von ihm freiwillig erstellte Saldenliste trotz gegenteiliger Ankü</w:t>
      </w:r>
      <w:r w:rsidRPr="00ED1241">
        <w:rPr>
          <w:rFonts w:cs="Times New Roman"/>
        </w:rPr>
        <w:t>n</w:t>
      </w:r>
      <w:r w:rsidRPr="00ED1241">
        <w:rPr>
          <w:rFonts w:cs="Times New Roman"/>
        </w:rPr>
        <w:t>digung nicht an die Wohnungseigentümer ve</w:t>
      </w:r>
      <w:r w:rsidRPr="00ED1241">
        <w:rPr>
          <w:rFonts w:cs="Times New Roman"/>
        </w:rPr>
        <w:t>r</w:t>
      </w:r>
      <w:r w:rsidRPr="00ED1241">
        <w:rPr>
          <w:rFonts w:cs="Times New Roman"/>
        </w:rPr>
        <w:t>sendet bzw. nicht in der Eigentümerversam</w:t>
      </w:r>
      <w:r w:rsidRPr="00ED1241">
        <w:rPr>
          <w:rFonts w:cs="Times New Roman"/>
        </w:rPr>
        <w:t>m</w:t>
      </w:r>
      <w:r w:rsidRPr="00ED1241">
        <w:rPr>
          <w:rFonts w:cs="Times New Roman"/>
        </w:rPr>
        <w:t>lun</w:t>
      </w:r>
      <w:r>
        <w:rPr>
          <w:rFonts w:cs="Times New Roman"/>
        </w:rPr>
        <w:t>g zur Einsicht vorl</w:t>
      </w:r>
      <w:bookmarkStart w:id="0" w:name="_GoBack"/>
      <w:bookmarkEnd w:id="0"/>
      <w:r w:rsidRPr="00ED1241">
        <w:rPr>
          <w:rFonts w:cs="Times New Roman"/>
        </w:rPr>
        <w:t xml:space="preserve">egt. </w:t>
      </w:r>
    </w:p>
    <w:p w:rsidR="00ED1241" w:rsidRDefault="00ED1241" w:rsidP="009A5D8D">
      <w:pPr>
        <w:pStyle w:val="KeinLeerraum"/>
        <w:rPr>
          <w:rFonts w:cs="Times New Roman"/>
        </w:rPr>
      </w:pPr>
    </w:p>
    <w:p w:rsidR="009A5D8D" w:rsidRDefault="009A5D8D" w:rsidP="009A5D8D">
      <w:pPr>
        <w:pStyle w:val="KeinLeerraum"/>
        <w:rPr>
          <w:rFonts w:cs="Times New Roman"/>
        </w:rPr>
      </w:pPr>
      <w:r w:rsidRPr="00421B19">
        <w:rPr>
          <w:noProof/>
          <w:lang w:eastAsia="de-DE"/>
        </w:rPr>
        <mc:AlternateContent>
          <mc:Choice Requires="wps">
            <w:drawing>
              <wp:anchor distT="0" distB="0" distL="114300" distR="114300" simplePos="0" relativeHeight="251661312" behindDoc="0" locked="0" layoutInCell="1" allowOverlap="1" wp14:anchorId="529693AF" wp14:editId="75AC948F">
                <wp:simplePos x="0" y="0"/>
                <wp:positionH relativeFrom="column">
                  <wp:posOffset>50478</wp:posOffset>
                </wp:positionH>
                <wp:positionV relativeFrom="paragraph">
                  <wp:posOffset>105699</wp:posOffset>
                </wp:positionV>
                <wp:extent cx="2571008" cy="1858010"/>
                <wp:effectExtent l="0" t="0" r="20320" b="279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008" cy="1858010"/>
                        </a:xfrm>
                        <a:prstGeom prst="rect">
                          <a:avLst/>
                        </a:prstGeom>
                        <a:solidFill>
                          <a:srgbClr val="FFFFFF"/>
                        </a:solidFill>
                        <a:ln w="9525">
                          <a:solidFill>
                            <a:srgbClr val="000000"/>
                          </a:solidFill>
                          <a:miter lim="800000"/>
                          <a:headEnd/>
                          <a:tailEnd/>
                        </a:ln>
                      </wps:spPr>
                      <wps:txbx>
                        <w:txbxContent>
                          <w:p w:rsidR="009A5D8D" w:rsidRDefault="009A5D8D" w:rsidP="009A5D8D">
                            <w:pPr>
                              <w:spacing w:after="0" w:line="240" w:lineRule="auto"/>
                              <w:jc w:val="center"/>
                              <w:rPr>
                                <w:rFonts w:ascii="Copperplate33BC" w:hAnsi="Copperplate33BC"/>
                              </w:rPr>
                            </w:pPr>
                            <w:r>
                              <w:rPr>
                                <w:rFonts w:ascii="Copperplate33BC" w:hAnsi="Copperplate33BC"/>
                              </w:rPr>
                              <w:t>Luithlen  &amp;  v. Stackelberg</w:t>
                            </w:r>
                          </w:p>
                          <w:p w:rsidR="009A5D8D" w:rsidRPr="00C56C01" w:rsidRDefault="009A5D8D" w:rsidP="009A5D8D">
                            <w:pPr>
                              <w:spacing w:after="0" w:line="240" w:lineRule="auto"/>
                              <w:jc w:val="center"/>
                              <w:rPr>
                                <w:rFonts w:ascii="Copperplate32BC" w:hAnsi="Copperplate32BC"/>
                                <w:sz w:val="20"/>
                              </w:rPr>
                            </w:pPr>
                            <w:r w:rsidRPr="00C56C01">
                              <w:rPr>
                                <w:rFonts w:ascii="Copperplate32BC" w:hAnsi="Copperplate32BC"/>
                                <w:sz w:val="20"/>
                              </w:rPr>
                              <w:t>Rechtsanwälte</w:t>
                            </w:r>
                          </w:p>
                          <w:p w:rsidR="009A5D8D" w:rsidRPr="00C56C01" w:rsidRDefault="009A5D8D" w:rsidP="009A5D8D">
                            <w:pPr>
                              <w:spacing w:after="0" w:line="240" w:lineRule="auto"/>
                              <w:rPr>
                                <w:rFonts w:ascii="Copperplate32BC" w:hAnsi="Copperplate32BC"/>
                                <w:sz w:val="16"/>
                              </w:rPr>
                            </w:pPr>
                          </w:p>
                          <w:p w:rsidR="009A5D8D" w:rsidRDefault="009A5D8D" w:rsidP="009A5D8D">
                            <w:pPr>
                              <w:spacing w:after="0" w:line="120" w:lineRule="exact"/>
                              <w:rPr>
                                <w:rFonts w:ascii="Copperplate32BC" w:hAnsi="Copperplate32BC"/>
                                <w:sz w:val="16"/>
                              </w:rPr>
                            </w:pPr>
                            <w:r w:rsidRPr="00C56C01">
                              <w:rPr>
                                <w:rFonts w:ascii="Copperplate32BC" w:hAnsi="Copperplate32BC"/>
                                <w:sz w:val="16"/>
                              </w:rPr>
                              <w:t>Dr. Jens Becker Platen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Sozialrecht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Michaela Schmidt-Eberth</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 xml:space="preserve">Rechtsanwältin, Fachanwältin für </w:t>
                            </w:r>
                            <w:r>
                              <w:rPr>
                                <w:rFonts w:cs="Times New Roman"/>
                                <w:sz w:val="12"/>
                              </w:rPr>
                              <w:t>Familien- und Strafrecht</w:t>
                            </w:r>
                            <w:r w:rsidRPr="00C56C01">
                              <w:rPr>
                                <w:rFonts w:cs="Times New Roman"/>
                                <w:sz w:val="12"/>
                              </w:rPr>
                              <w:t>, Mediatorin</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 Hopp</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Erbrecht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Heinrich Frhr. v. Stackelberg</w:t>
                            </w:r>
                          </w:p>
                          <w:p w:rsidR="009A5D8D" w:rsidRDefault="009A5D8D" w:rsidP="009A5D8D">
                            <w:pPr>
                              <w:spacing w:after="0" w:line="120" w:lineRule="exact"/>
                              <w:rPr>
                                <w:rFonts w:cs="Times New Roman"/>
                                <w:sz w:val="12"/>
                              </w:rPr>
                            </w:pPr>
                            <w:r>
                              <w:rPr>
                                <w:rFonts w:cs="Times New Roman"/>
                                <w:sz w:val="12"/>
                              </w:rPr>
                              <w:t xml:space="preserve">        Rechtsanwalt,</w:t>
                            </w:r>
                          </w:p>
                          <w:p w:rsidR="009A5D8D" w:rsidRPr="00745155" w:rsidRDefault="009A5D8D" w:rsidP="009A5D8D">
                            <w:pPr>
                              <w:spacing w:after="0" w:line="120" w:lineRule="exact"/>
                              <w:rPr>
                                <w:rFonts w:cs="Times New Roman"/>
                                <w:sz w:val="6"/>
                              </w:rPr>
                            </w:pPr>
                          </w:p>
                          <w:p w:rsidR="009A5D8D" w:rsidRDefault="009A5D8D" w:rsidP="009A5D8D">
                            <w:pPr>
                              <w:spacing w:after="0" w:line="120" w:lineRule="exact"/>
                              <w:rPr>
                                <w:rFonts w:ascii="Copperplate32BC" w:hAnsi="Copperplate32BC"/>
                              </w:rPr>
                            </w:pPr>
                            <w:r w:rsidRPr="00C56C01">
                              <w:rPr>
                                <w:rFonts w:ascii="Copperplate32BC" w:hAnsi="Copperplate32BC"/>
                                <w:sz w:val="16"/>
                              </w:rPr>
                              <w:t>Thomas Luithlen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w:t>
                            </w:r>
                          </w:p>
                          <w:p w:rsidR="009A5D8D" w:rsidRPr="00745155" w:rsidRDefault="009A5D8D" w:rsidP="009A5D8D">
                            <w:pPr>
                              <w:spacing w:after="0" w:line="240" w:lineRule="auto"/>
                              <w:rPr>
                                <w:rFonts w:ascii="Copperplate32BC" w:hAnsi="Copperplate32BC"/>
                                <w:sz w:val="14"/>
                              </w:rPr>
                            </w:pP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Karl-Lederer-Platz 13</w:t>
                            </w:r>
                            <w:r>
                              <w:rPr>
                                <w:rFonts w:ascii="Copperplate32BC" w:hAnsi="Copperplate32BC"/>
                                <w:sz w:val="16"/>
                              </w:rPr>
                              <w:t xml:space="preserve">,   </w:t>
                            </w:r>
                            <w:r w:rsidRPr="00C56C01">
                              <w:rPr>
                                <w:rFonts w:ascii="Copperplate32BC" w:hAnsi="Copperplate32BC"/>
                                <w:sz w:val="16"/>
                              </w:rPr>
                              <w:t>82538 Geretsried</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Tel.: 08171 – 93 99 3</w:t>
                            </w:r>
                            <w:r>
                              <w:rPr>
                                <w:rFonts w:ascii="Copperplate32BC" w:hAnsi="Copperplate32BC"/>
                                <w:sz w:val="16"/>
                              </w:rPr>
                              <w:t xml:space="preserve">   </w:t>
                            </w:r>
                            <w:r w:rsidRPr="00C56C01">
                              <w:rPr>
                                <w:rFonts w:ascii="Copperplate32BC" w:hAnsi="Copperplate32BC"/>
                                <w:sz w:val="16"/>
                              </w:rPr>
                              <w:t>Fax: 08171 – 93 99 50</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5pt;margin-top:8.3pt;width:202.45pt;height:1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">
                <v:textbox>
                  <w:txbxContent>
                    <w:p w:rsidR="009A5D8D" w:rsidRDefault="009A5D8D" w:rsidP="009A5D8D">
                      <w:pPr>
                        <w:spacing w:after="0" w:line="240" w:lineRule="auto"/>
                        <w:jc w:val="center"/>
                        <w:rPr>
                          <w:rFonts w:ascii="Copperplate33BC" w:hAnsi="Copperplate33BC"/>
                        </w:rPr>
                      </w:pPr>
                      <w:r>
                        <w:rPr>
                          <w:rFonts w:ascii="Copperplate33BC" w:hAnsi="Copperplate33BC"/>
                        </w:rPr>
                        <w:t>Luithlen  &amp;  v. Stackelberg</w:t>
                      </w:r>
                    </w:p>
                    <w:p w:rsidR="009A5D8D" w:rsidRPr="00C56C01" w:rsidRDefault="009A5D8D" w:rsidP="009A5D8D">
                      <w:pPr>
                        <w:spacing w:after="0" w:line="240" w:lineRule="auto"/>
                        <w:jc w:val="center"/>
                        <w:rPr>
                          <w:rFonts w:ascii="Copperplate32BC" w:hAnsi="Copperplate32BC"/>
                          <w:sz w:val="20"/>
                        </w:rPr>
                      </w:pPr>
                      <w:r w:rsidRPr="00C56C01">
                        <w:rPr>
                          <w:rFonts w:ascii="Copperplate32BC" w:hAnsi="Copperplate32BC"/>
                          <w:sz w:val="20"/>
                        </w:rPr>
                        <w:t>Rechtsanwälte</w:t>
                      </w:r>
                    </w:p>
                    <w:p w:rsidR="009A5D8D" w:rsidRPr="00C56C01" w:rsidRDefault="009A5D8D" w:rsidP="009A5D8D">
                      <w:pPr>
                        <w:spacing w:after="0" w:line="240" w:lineRule="auto"/>
                        <w:rPr>
                          <w:rFonts w:ascii="Copperplate32BC" w:hAnsi="Copperplate32BC"/>
                          <w:sz w:val="16"/>
                        </w:rPr>
                      </w:pPr>
                    </w:p>
                    <w:p w:rsidR="009A5D8D" w:rsidRDefault="009A5D8D" w:rsidP="009A5D8D">
                      <w:pPr>
                        <w:spacing w:after="0" w:line="120" w:lineRule="exact"/>
                        <w:rPr>
                          <w:rFonts w:ascii="Copperplate32BC" w:hAnsi="Copperplate32BC"/>
                          <w:sz w:val="16"/>
                        </w:rPr>
                      </w:pPr>
                      <w:r w:rsidRPr="00C56C01">
                        <w:rPr>
                          <w:rFonts w:ascii="Copperplate32BC" w:hAnsi="Copperplate32BC"/>
                          <w:sz w:val="16"/>
                        </w:rPr>
                        <w:t>Dr. Jens Becker Platen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Sozialrecht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Michaela Schmidt-Eberth</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 xml:space="preserve">Rechtsanwältin, Fachanwältin für </w:t>
                      </w:r>
                      <w:r>
                        <w:rPr>
                          <w:rFonts w:cs="Times New Roman"/>
                          <w:sz w:val="12"/>
                        </w:rPr>
                        <w:t>Familien- und Strafrecht</w:t>
                      </w:r>
                      <w:r w:rsidRPr="00C56C01">
                        <w:rPr>
                          <w:rFonts w:cs="Times New Roman"/>
                          <w:sz w:val="12"/>
                        </w:rPr>
                        <w:t>, Mediatorin</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Michael Hopp</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 Fachanwalt für Erbrecht</w:t>
                      </w:r>
                    </w:p>
                    <w:p w:rsidR="009A5D8D" w:rsidRPr="00745155" w:rsidRDefault="009A5D8D" w:rsidP="009A5D8D">
                      <w:pPr>
                        <w:spacing w:after="0" w:line="240" w:lineRule="auto"/>
                        <w:rPr>
                          <w:rFonts w:cs="Times New Roman"/>
                          <w:sz w:val="6"/>
                        </w:rPr>
                      </w:pPr>
                    </w:p>
                    <w:p w:rsidR="009A5D8D" w:rsidRPr="00C56C01" w:rsidRDefault="009A5D8D" w:rsidP="009A5D8D">
                      <w:pPr>
                        <w:spacing w:after="0" w:line="120" w:lineRule="exact"/>
                        <w:rPr>
                          <w:rFonts w:ascii="Copperplate32BC" w:hAnsi="Copperplate32BC"/>
                          <w:sz w:val="16"/>
                        </w:rPr>
                      </w:pPr>
                      <w:r w:rsidRPr="00C56C01">
                        <w:rPr>
                          <w:rFonts w:ascii="Copperplate32BC" w:hAnsi="Copperplate32BC"/>
                          <w:sz w:val="16"/>
                        </w:rPr>
                        <w:t>Heinrich Frhr. v. Stackelberg</w:t>
                      </w:r>
                    </w:p>
                    <w:p w:rsidR="009A5D8D" w:rsidRDefault="009A5D8D" w:rsidP="009A5D8D">
                      <w:pPr>
                        <w:spacing w:after="0" w:line="120" w:lineRule="exact"/>
                        <w:rPr>
                          <w:rFonts w:cs="Times New Roman"/>
                          <w:sz w:val="12"/>
                        </w:rPr>
                      </w:pPr>
                      <w:r>
                        <w:rPr>
                          <w:rFonts w:cs="Times New Roman"/>
                          <w:sz w:val="12"/>
                        </w:rPr>
                        <w:t xml:space="preserve">        Rechtsanwalt,</w:t>
                      </w:r>
                    </w:p>
                    <w:p w:rsidR="009A5D8D" w:rsidRPr="00745155" w:rsidRDefault="009A5D8D" w:rsidP="009A5D8D">
                      <w:pPr>
                        <w:spacing w:after="0" w:line="120" w:lineRule="exact"/>
                        <w:rPr>
                          <w:rFonts w:cs="Times New Roman"/>
                          <w:sz w:val="6"/>
                        </w:rPr>
                      </w:pPr>
                    </w:p>
                    <w:p w:rsidR="009A5D8D" w:rsidRDefault="009A5D8D" w:rsidP="009A5D8D">
                      <w:pPr>
                        <w:spacing w:after="0" w:line="120" w:lineRule="exact"/>
                        <w:rPr>
                          <w:rFonts w:ascii="Copperplate32BC" w:hAnsi="Copperplate32BC"/>
                        </w:rPr>
                      </w:pPr>
                      <w:r w:rsidRPr="00C56C01">
                        <w:rPr>
                          <w:rFonts w:ascii="Copperplate32BC" w:hAnsi="Copperplate32BC"/>
                          <w:sz w:val="16"/>
                        </w:rPr>
                        <w:t>Thomas Luithlen</w:t>
                      </w:r>
                    </w:p>
                    <w:p w:rsidR="009A5D8D" w:rsidRDefault="009A5D8D" w:rsidP="009A5D8D">
                      <w:pPr>
                        <w:spacing w:after="0" w:line="120" w:lineRule="exact"/>
                        <w:rPr>
                          <w:rFonts w:cs="Times New Roman"/>
                          <w:sz w:val="12"/>
                        </w:rPr>
                      </w:pPr>
                      <w:r>
                        <w:rPr>
                          <w:rFonts w:cs="Times New Roman"/>
                          <w:sz w:val="12"/>
                        </w:rPr>
                        <w:t xml:space="preserve">        </w:t>
                      </w:r>
                      <w:r w:rsidRPr="00C56C01">
                        <w:rPr>
                          <w:rFonts w:cs="Times New Roman"/>
                          <w:sz w:val="12"/>
                        </w:rPr>
                        <w:t>Rechtsanwalt</w:t>
                      </w:r>
                    </w:p>
                    <w:p w:rsidR="009A5D8D" w:rsidRPr="00745155" w:rsidRDefault="009A5D8D" w:rsidP="009A5D8D">
                      <w:pPr>
                        <w:spacing w:after="0" w:line="240" w:lineRule="auto"/>
                        <w:rPr>
                          <w:rFonts w:ascii="Copperplate32BC" w:hAnsi="Copperplate32BC"/>
                          <w:sz w:val="14"/>
                        </w:rPr>
                      </w:pP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Karl-Lederer-Platz 13</w:t>
                      </w:r>
                      <w:r>
                        <w:rPr>
                          <w:rFonts w:ascii="Copperplate32BC" w:hAnsi="Copperplate32BC"/>
                          <w:sz w:val="16"/>
                        </w:rPr>
                        <w:t xml:space="preserve">,   </w:t>
                      </w:r>
                      <w:r w:rsidRPr="00C56C01">
                        <w:rPr>
                          <w:rFonts w:ascii="Copperplate32BC" w:hAnsi="Copperplate32BC"/>
                          <w:sz w:val="16"/>
                        </w:rPr>
                        <w:t>82538 Geretsried</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Tel.: 08171 – 93 99 3</w:t>
                      </w:r>
                      <w:r>
                        <w:rPr>
                          <w:rFonts w:ascii="Copperplate32BC" w:hAnsi="Copperplate32BC"/>
                          <w:sz w:val="16"/>
                        </w:rPr>
                        <w:t xml:space="preserve">   </w:t>
                      </w:r>
                      <w:r w:rsidRPr="00C56C01">
                        <w:rPr>
                          <w:rFonts w:ascii="Copperplate32BC" w:hAnsi="Copperplate32BC"/>
                          <w:sz w:val="16"/>
                        </w:rPr>
                        <w:t>Fax: 08171 – 93 99 50</w:t>
                      </w:r>
                    </w:p>
                    <w:p w:rsidR="009A5D8D" w:rsidRPr="00C56C01" w:rsidRDefault="009A5D8D" w:rsidP="009A5D8D">
                      <w:pPr>
                        <w:spacing w:after="0" w:line="240" w:lineRule="auto"/>
                        <w:jc w:val="center"/>
                        <w:rPr>
                          <w:rFonts w:ascii="Copperplate32BC" w:hAnsi="Copperplate32BC"/>
                          <w:sz w:val="16"/>
                        </w:rPr>
                      </w:pPr>
                      <w:r w:rsidRPr="00C56C01">
                        <w:rPr>
                          <w:rFonts w:ascii="Copperplate32BC" w:hAnsi="Copperplate32BC"/>
                          <w:sz w:val="16"/>
                        </w:rPr>
                        <w:t>www.luithlen-stackelberg.de</w:t>
                      </w:r>
                    </w:p>
                  </w:txbxContent>
                </v:textbox>
              </v:shape>
            </w:pict>
          </mc:Fallback>
        </mc:AlternateContent>
      </w:r>
    </w:p>
    <w:p w:rsidR="009A5D8D" w:rsidRDefault="009A5D8D" w:rsidP="009A5D8D">
      <w:pPr>
        <w:pStyle w:val="KeinLeerraum"/>
        <w:rPr>
          <w:rFonts w:cs="Times New Roman"/>
        </w:rPr>
      </w:pPr>
    </w:p>
    <w:p w:rsidR="009A5D8D" w:rsidRDefault="009A5D8D" w:rsidP="009A5D8D">
      <w:pPr>
        <w:pStyle w:val="KeinLeerraum"/>
        <w:rPr>
          <w:rFonts w:cs="Times New Roman"/>
        </w:rPr>
      </w:pPr>
    </w:p>
    <w:sectPr w:rsidR="009A5D8D" w:rsidSect="00F1158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30C57"/>
    <w:rsid w:val="00037A29"/>
    <w:rsid w:val="0005639D"/>
    <w:rsid w:val="0005726D"/>
    <w:rsid w:val="000669C3"/>
    <w:rsid w:val="000874D5"/>
    <w:rsid w:val="000A7DE0"/>
    <w:rsid w:val="000C477F"/>
    <w:rsid w:val="000C6C0A"/>
    <w:rsid w:val="000E41B8"/>
    <w:rsid w:val="000F1727"/>
    <w:rsid w:val="00101E98"/>
    <w:rsid w:val="00111066"/>
    <w:rsid w:val="0011246D"/>
    <w:rsid w:val="00124835"/>
    <w:rsid w:val="00134C7F"/>
    <w:rsid w:val="001375AE"/>
    <w:rsid w:val="001745A0"/>
    <w:rsid w:val="00175CBB"/>
    <w:rsid w:val="001A57EF"/>
    <w:rsid w:val="001B2F23"/>
    <w:rsid w:val="001B6576"/>
    <w:rsid w:val="001C1780"/>
    <w:rsid w:val="001E1622"/>
    <w:rsid w:val="001E5925"/>
    <w:rsid w:val="002004DE"/>
    <w:rsid w:val="00201A3E"/>
    <w:rsid w:val="002134DA"/>
    <w:rsid w:val="0022361D"/>
    <w:rsid w:val="00230551"/>
    <w:rsid w:val="00232F4F"/>
    <w:rsid w:val="002370DE"/>
    <w:rsid w:val="00265A05"/>
    <w:rsid w:val="00271141"/>
    <w:rsid w:val="002A7469"/>
    <w:rsid w:val="002A7A9D"/>
    <w:rsid w:val="002B4C94"/>
    <w:rsid w:val="002E0B91"/>
    <w:rsid w:val="003001E5"/>
    <w:rsid w:val="00301F0E"/>
    <w:rsid w:val="0030310E"/>
    <w:rsid w:val="00310591"/>
    <w:rsid w:val="00311678"/>
    <w:rsid w:val="003137BB"/>
    <w:rsid w:val="00314880"/>
    <w:rsid w:val="0032057B"/>
    <w:rsid w:val="0032308D"/>
    <w:rsid w:val="003278EC"/>
    <w:rsid w:val="00327D32"/>
    <w:rsid w:val="00336775"/>
    <w:rsid w:val="003522CD"/>
    <w:rsid w:val="0035647B"/>
    <w:rsid w:val="00360D25"/>
    <w:rsid w:val="00376F02"/>
    <w:rsid w:val="003805D4"/>
    <w:rsid w:val="00385F93"/>
    <w:rsid w:val="003A3D51"/>
    <w:rsid w:val="003A4136"/>
    <w:rsid w:val="003B252E"/>
    <w:rsid w:val="003B5986"/>
    <w:rsid w:val="003D006E"/>
    <w:rsid w:val="003D22CC"/>
    <w:rsid w:val="003D7858"/>
    <w:rsid w:val="003E1559"/>
    <w:rsid w:val="003E59C5"/>
    <w:rsid w:val="004048FD"/>
    <w:rsid w:val="00421B19"/>
    <w:rsid w:val="00452DD5"/>
    <w:rsid w:val="00463FF8"/>
    <w:rsid w:val="004643D5"/>
    <w:rsid w:val="00466682"/>
    <w:rsid w:val="00475064"/>
    <w:rsid w:val="004853B0"/>
    <w:rsid w:val="00493550"/>
    <w:rsid w:val="004B2D14"/>
    <w:rsid w:val="004C6668"/>
    <w:rsid w:val="004E212C"/>
    <w:rsid w:val="004E5B6E"/>
    <w:rsid w:val="004F041F"/>
    <w:rsid w:val="004F0F1C"/>
    <w:rsid w:val="00504CA6"/>
    <w:rsid w:val="005226BB"/>
    <w:rsid w:val="00545294"/>
    <w:rsid w:val="00551ADB"/>
    <w:rsid w:val="00552B5C"/>
    <w:rsid w:val="00566C7E"/>
    <w:rsid w:val="005779EB"/>
    <w:rsid w:val="00577F14"/>
    <w:rsid w:val="0058003F"/>
    <w:rsid w:val="0058014E"/>
    <w:rsid w:val="00582153"/>
    <w:rsid w:val="005927E9"/>
    <w:rsid w:val="0059626E"/>
    <w:rsid w:val="005B71F4"/>
    <w:rsid w:val="005C553D"/>
    <w:rsid w:val="005D13B1"/>
    <w:rsid w:val="006361D2"/>
    <w:rsid w:val="0069034D"/>
    <w:rsid w:val="006925CB"/>
    <w:rsid w:val="006C7730"/>
    <w:rsid w:val="006D5A1E"/>
    <w:rsid w:val="0075664B"/>
    <w:rsid w:val="00761A87"/>
    <w:rsid w:val="00763C22"/>
    <w:rsid w:val="0076545E"/>
    <w:rsid w:val="00770CD4"/>
    <w:rsid w:val="00776757"/>
    <w:rsid w:val="00776EB2"/>
    <w:rsid w:val="0078104E"/>
    <w:rsid w:val="007858A6"/>
    <w:rsid w:val="007961AB"/>
    <w:rsid w:val="007A21D0"/>
    <w:rsid w:val="007B1699"/>
    <w:rsid w:val="007B4EB6"/>
    <w:rsid w:val="007D431F"/>
    <w:rsid w:val="007E1245"/>
    <w:rsid w:val="007E4EC5"/>
    <w:rsid w:val="007E7331"/>
    <w:rsid w:val="007F1514"/>
    <w:rsid w:val="007F1946"/>
    <w:rsid w:val="007F20B5"/>
    <w:rsid w:val="007F27F9"/>
    <w:rsid w:val="00807875"/>
    <w:rsid w:val="00816624"/>
    <w:rsid w:val="0082772A"/>
    <w:rsid w:val="008420B0"/>
    <w:rsid w:val="008464B3"/>
    <w:rsid w:val="008648B0"/>
    <w:rsid w:val="008802A9"/>
    <w:rsid w:val="00885A97"/>
    <w:rsid w:val="00890A5D"/>
    <w:rsid w:val="008A25EE"/>
    <w:rsid w:val="008E1688"/>
    <w:rsid w:val="008F6FB7"/>
    <w:rsid w:val="00907E5D"/>
    <w:rsid w:val="009360D0"/>
    <w:rsid w:val="00941952"/>
    <w:rsid w:val="00942C61"/>
    <w:rsid w:val="00946D50"/>
    <w:rsid w:val="009578BB"/>
    <w:rsid w:val="00970543"/>
    <w:rsid w:val="00983E19"/>
    <w:rsid w:val="009925EF"/>
    <w:rsid w:val="00994BA8"/>
    <w:rsid w:val="00995261"/>
    <w:rsid w:val="00996E43"/>
    <w:rsid w:val="009A334A"/>
    <w:rsid w:val="009A5D8D"/>
    <w:rsid w:val="009C21B2"/>
    <w:rsid w:val="009C59AB"/>
    <w:rsid w:val="009E3F68"/>
    <w:rsid w:val="00A01125"/>
    <w:rsid w:val="00A233C0"/>
    <w:rsid w:val="00A266BF"/>
    <w:rsid w:val="00A4659F"/>
    <w:rsid w:val="00A563F1"/>
    <w:rsid w:val="00A66F4F"/>
    <w:rsid w:val="00A70069"/>
    <w:rsid w:val="00A81434"/>
    <w:rsid w:val="00AA3329"/>
    <w:rsid w:val="00AD00D9"/>
    <w:rsid w:val="00AF57D7"/>
    <w:rsid w:val="00AF6168"/>
    <w:rsid w:val="00AF6CAB"/>
    <w:rsid w:val="00B0503C"/>
    <w:rsid w:val="00B13894"/>
    <w:rsid w:val="00B30D91"/>
    <w:rsid w:val="00B3690C"/>
    <w:rsid w:val="00B36A2F"/>
    <w:rsid w:val="00B40FB0"/>
    <w:rsid w:val="00B41385"/>
    <w:rsid w:val="00B42ABB"/>
    <w:rsid w:val="00B43FC1"/>
    <w:rsid w:val="00B500FC"/>
    <w:rsid w:val="00B673DC"/>
    <w:rsid w:val="00B80D2C"/>
    <w:rsid w:val="00B91F93"/>
    <w:rsid w:val="00B97642"/>
    <w:rsid w:val="00BE7524"/>
    <w:rsid w:val="00C00761"/>
    <w:rsid w:val="00C162CD"/>
    <w:rsid w:val="00C25EE4"/>
    <w:rsid w:val="00C41029"/>
    <w:rsid w:val="00C446AF"/>
    <w:rsid w:val="00C548FB"/>
    <w:rsid w:val="00C63C81"/>
    <w:rsid w:val="00C66441"/>
    <w:rsid w:val="00C7662F"/>
    <w:rsid w:val="00C76FBB"/>
    <w:rsid w:val="00C800F2"/>
    <w:rsid w:val="00C80531"/>
    <w:rsid w:val="00C817AB"/>
    <w:rsid w:val="00C81F09"/>
    <w:rsid w:val="00C97136"/>
    <w:rsid w:val="00CC3018"/>
    <w:rsid w:val="00CD0574"/>
    <w:rsid w:val="00CD42C9"/>
    <w:rsid w:val="00CE262C"/>
    <w:rsid w:val="00D30BBD"/>
    <w:rsid w:val="00D30D81"/>
    <w:rsid w:val="00D3799D"/>
    <w:rsid w:val="00D40A7E"/>
    <w:rsid w:val="00D40B3C"/>
    <w:rsid w:val="00D60B51"/>
    <w:rsid w:val="00D7215A"/>
    <w:rsid w:val="00D7229F"/>
    <w:rsid w:val="00D735C6"/>
    <w:rsid w:val="00D85E19"/>
    <w:rsid w:val="00D92A77"/>
    <w:rsid w:val="00DC281D"/>
    <w:rsid w:val="00DD28CA"/>
    <w:rsid w:val="00DD404C"/>
    <w:rsid w:val="00DE0FD1"/>
    <w:rsid w:val="00DE4F90"/>
    <w:rsid w:val="00DF083C"/>
    <w:rsid w:val="00E02823"/>
    <w:rsid w:val="00E13739"/>
    <w:rsid w:val="00E147D7"/>
    <w:rsid w:val="00E60FAD"/>
    <w:rsid w:val="00E71BCE"/>
    <w:rsid w:val="00E76E26"/>
    <w:rsid w:val="00E77BB9"/>
    <w:rsid w:val="00E80B6B"/>
    <w:rsid w:val="00EB704E"/>
    <w:rsid w:val="00EC07D9"/>
    <w:rsid w:val="00EC6CAD"/>
    <w:rsid w:val="00ED0750"/>
    <w:rsid w:val="00ED1241"/>
    <w:rsid w:val="00EE3699"/>
    <w:rsid w:val="00EF65E1"/>
    <w:rsid w:val="00F03078"/>
    <w:rsid w:val="00F123E9"/>
    <w:rsid w:val="00F2170D"/>
    <w:rsid w:val="00F55819"/>
    <w:rsid w:val="00F61F47"/>
    <w:rsid w:val="00F83B09"/>
    <w:rsid w:val="00F95FDC"/>
    <w:rsid w:val="00FB5FDB"/>
    <w:rsid w:val="00FB7E93"/>
    <w:rsid w:val="00FD6989"/>
    <w:rsid w:val="00FE0107"/>
    <w:rsid w:val="00FE2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A1E"/>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A1E"/>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6684962e-73c3-40fb-9def-9b0c99ac11fb</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4CC8-6F8D-4E0F-BA85-4B5ABDAC0EE0}">
  <ds:schemaRefs>
    <ds:schemaRef ds:uri="http://www.datev.de/BSOffice/999929"/>
  </ds:schemaRefs>
</ds:datastoreItem>
</file>

<file path=customXml/itemProps2.xml><?xml version="1.0" encoding="utf-8"?>
<ds:datastoreItem xmlns:ds="http://schemas.openxmlformats.org/officeDocument/2006/customXml" ds:itemID="{37B61ACB-C723-4E24-BA2C-937D37F3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8590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8</cp:revision>
  <cp:lastPrinted>2013-12-05T15:57:00Z</cp:lastPrinted>
  <dcterms:created xsi:type="dcterms:W3CDTF">2018-03-14T13:55:00Z</dcterms:created>
  <dcterms:modified xsi:type="dcterms:W3CDTF">2018-03-22T15:19:00Z</dcterms:modified>
</cp:coreProperties>
</file>